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AB45" w14:textId="77777777" w:rsidR="00FD13D4" w:rsidRPr="00B722CD" w:rsidRDefault="004E3577">
      <w:pPr>
        <w:spacing w:after="160"/>
        <w:rPr>
          <w:b/>
          <w:bCs/>
          <w:sz w:val="48"/>
          <w:szCs w:val="48"/>
        </w:rPr>
      </w:pPr>
      <w:r w:rsidRPr="00B722CD">
        <w:rPr>
          <w:b/>
          <w:bCs/>
          <w:sz w:val="48"/>
          <w:szCs w:val="48"/>
        </w:rPr>
        <w:t>Información en tiempo real, planificación indicativa y transformación productiva en América Latina</w:t>
      </w:r>
    </w:p>
    <w:p w14:paraId="0CF2F8C2" w14:textId="634DC0B8" w:rsidR="00B722CD" w:rsidRPr="00B722CD" w:rsidRDefault="00B722CD" w:rsidP="00B722CD">
      <w:pPr>
        <w:spacing w:after="160"/>
        <w:jc w:val="right"/>
      </w:pPr>
      <w:r w:rsidRPr="00B722CD">
        <w:t xml:space="preserve">Mario Krieger </w:t>
      </w:r>
    </w:p>
    <w:p w14:paraId="61976256" w14:textId="77777777" w:rsidR="00FD13D4" w:rsidRPr="00B722CD" w:rsidRDefault="004E3577">
      <w:pPr>
        <w:spacing w:after="500"/>
      </w:pPr>
      <w:r w:rsidRPr="00B722CD">
        <w:rPr>
          <w:sz w:val="28"/>
          <w:szCs w:val="28"/>
        </w:rPr>
        <w:t>Hacia una nueva capacidad de coordinación del Estado en la economía digital</w:t>
      </w:r>
    </w:p>
    <w:p w14:paraId="07A46925" w14:textId="77777777" w:rsidR="00FD13D4" w:rsidRPr="00B722CD" w:rsidRDefault="004E3577">
      <w:pPr>
        <w:pStyle w:val="Ttulo1"/>
        <w:spacing w:before="380" w:after="180"/>
        <w:rPr>
          <w:color w:val="auto"/>
        </w:rPr>
      </w:pPr>
      <w:r w:rsidRPr="00B722CD">
        <w:rPr>
          <w:color w:val="auto"/>
        </w:rPr>
        <w:t>Resumen</w:t>
      </w:r>
    </w:p>
    <w:p w14:paraId="49625322" w14:textId="77777777" w:rsidR="00FD13D4" w:rsidRPr="00B722CD" w:rsidRDefault="004E3577">
      <w:pPr>
        <w:spacing w:after="190" w:line="300" w:lineRule="auto"/>
        <w:jc w:val="both"/>
      </w:pPr>
      <w:r w:rsidRPr="00B722CD">
        <w:t>La expansión de los sensores, la trazabilidad, el cómputo masivo, la inteligencia artificial y las bases de datos en tiempo real modifica las capacidades de información de las economías contemporáneas. Permite conocer con mayor rapidez la evolución de la producción, los inventarios, las cadenas de suministro y determinados cuellos de botella productivos.</w:t>
      </w:r>
    </w:p>
    <w:p w14:paraId="5C1C1D03" w14:textId="77777777" w:rsidR="00FD13D4" w:rsidRPr="00B722CD" w:rsidRDefault="004E3577">
      <w:pPr>
        <w:spacing w:after="190" w:line="300" w:lineRule="auto"/>
        <w:jc w:val="both"/>
      </w:pPr>
      <w:r w:rsidRPr="00B722CD">
        <w:t>La pregunta relevante para América Latina no es si estas tecnologías permiten recuperar la planificación centralizada del siglo veinte. La pregunta es otra. Puede el Estado usar esta capacidad de información para orientar la transformación productiva, coordinar inversiones y anticipar crisis, sin sustituir las decisiones descentralizadas de los agentes económicos.</w:t>
      </w:r>
    </w:p>
    <w:p w14:paraId="3D91D7E1" w14:textId="29BDD782" w:rsidR="00FD13D4" w:rsidRPr="00B722CD" w:rsidRDefault="004E3577">
      <w:pPr>
        <w:spacing w:after="190" w:line="300" w:lineRule="auto"/>
        <w:jc w:val="both"/>
      </w:pPr>
      <w:r w:rsidRPr="00B722CD">
        <w:t xml:space="preserve">Este documento sostiene que la respuesta es afirmativa, bajo condiciones institucionales precisas. Se apoya en dos matrices complementarias. La tradición </w:t>
      </w:r>
      <w:proofErr w:type="spellStart"/>
      <w:r w:rsidR="00B722CD" w:rsidRPr="00B722CD">
        <w:t>C</w:t>
      </w:r>
      <w:r w:rsidRPr="00B722CD">
        <w:t>epalina</w:t>
      </w:r>
      <w:proofErr w:type="spellEnd"/>
      <w:r w:rsidRPr="00B722CD">
        <w:t xml:space="preserve"> del cambio estructural y las políticas de desarrollo productivo. Y el trabajo de Mariana Mazzucato sobre el Estado emprendedor, la creación de valor y la economía de misión.</w:t>
      </w:r>
    </w:p>
    <w:p w14:paraId="1F1399C6" w14:textId="77777777" w:rsidR="00FD13D4" w:rsidRPr="00B722CD" w:rsidRDefault="004E3577">
      <w:pPr>
        <w:spacing w:after="190" w:line="300" w:lineRule="auto"/>
        <w:jc w:val="both"/>
      </w:pPr>
      <w:r w:rsidRPr="00B722CD">
        <w:t>La propuesta central es avanzar hacia una planificación indicativa digital, entendida como una capacidad estatal de observación, anticipación, coordinación y orientación estratégica. La segunda parte del documento baja esa propuesta a un plano operativo. Incluye arquitectura institucional, indicadores, experiencias internacionales y experiencias argentinas concretas. Entre ellas, la vinculación de CONICET, INTI e INTA con el sector productivo, y el desarrollo nuclear argentino a través de la CONEA y de INVA</w:t>
      </w:r>
      <w:r w:rsidRPr="00B722CD">
        <w:t>P.</w:t>
      </w:r>
    </w:p>
    <w:p w14:paraId="4DFEFBE6" w14:textId="77777777" w:rsidR="00FD13D4" w:rsidRPr="00B722CD" w:rsidRDefault="004E3577">
      <w:pPr>
        <w:pageBreakBefore/>
        <w:spacing w:before="500" w:after="300"/>
      </w:pPr>
      <w:r w:rsidRPr="00B722CD">
        <w:rPr>
          <w:b/>
          <w:bCs/>
          <w:sz w:val="32"/>
          <w:szCs w:val="32"/>
        </w:rPr>
        <w:lastRenderedPageBreak/>
        <w:t>Parte I. Marco conceptual</w:t>
      </w:r>
    </w:p>
    <w:p w14:paraId="4A127E85" w14:textId="77777777" w:rsidR="00FD13D4" w:rsidRPr="00B722CD" w:rsidRDefault="004E3577">
      <w:pPr>
        <w:pStyle w:val="Ttulo1"/>
        <w:spacing w:before="380" w:after="180"/>
        <w:rPr>
          <w:color w:val="auto"/>
        </w:rPr>
      </w:pPr>
      <w:r w:rsidRPr="00B722CD">
        <w:rPr>
          <w:color w:val="auto"/>
        </w:rPr>
        <w:t>1. Introducción, de la planificación central a la capacidad de coordinación</w:t>
      </w:r>
    </w:p>
    <w:p w14:paraId="428C9799" w14:textId="77777777" w:rsidR="00FD13D4" w:rsidRPr="00B722CD" w:rsidRDefault="004E3577">
      <w:pPr>
        <w:spacing w:after="190" w:line="300" w:lineRule="auto"/>
        <w:jc w:val="both"/>
      </w:pPr>
      <w:r w:rsidRPr="00B722CD">
        <w:t xml:space="preserve">La discusión sobre planificación económica tiene casi un siglo de historia. El debate sobre el cálculo económico socialista, las experiencias de planificación soviética, la planificación indicativa europea y proyectos como </w:t>
      </w:r>
      <w:proofErr w:type="spellStart"/>
      <w:r w:rsidRPr="00B722CD">
        <w:t>Cybersyn</w:t>
      </w:r>
      <w:proofErr w:type="spellEnd"/>
      <w:r w:rsidRPr="00B722CD">
        <w:t xml:space="preserve"> en Chile expresaron distintas respuestas a un mismo problema. Cómo coordinar millones de decisiones económicas que ningún actor individual puede conocer en su totalidad.</w:t>
      </w:r>
    </w:p>
    <w:p w14:paraId="26A095E9" w14:textId="77777777" w:rsidR="00FD13D4" w:rsidRPr="00B722CD" w:rsidRDefault="004E3577">
      <w:pPr>
        <w:spacing w:after="190" w:line="300" w:lineRule="auto"/>
        <w:jc w:val="both"/>
      </w:pPr>
      <w:r w:rsidRPr="00B722CD">
        <w:t>La revolución digital modifica sustancialmente las condiciones de esa discusión. Sensores de producción, sistemas de trazabilidad, inteligencia artificial, plataformas logísticas, internet de las cosas y capacidad de procesamiento masivo permiten observar fenómenos económicos con una velocidad y una granularidad desconocidas durante buena parte del siglo veinte.</w:t>
      </w:r>
    </w:p>
    <w:p w14:paraId="79A3D080" w14:textId="77777777" w:rsidR="00FD13D4" w:rsidRPr="00B722CD" w:rsidRDefault="004E3577">
      <w:pPr>
        <w:spacing w:after="190" w:line="300" w:lineRule="auto"/>
        <w:jc w:val="both"/>
      </w:pPr>
      <w:r w:rsidRPr="00B722CD">
        <w:t>Sin embargo, disponer de más información no significa disponer automáticamente de la información necesaria para decidir correctamente. El desafío contemporáneo es, por lo tanto, menos tecnológico que institucional.</w:t>
      </w:r>
    </w:p>
    <w:p w14:paraId="1C82BBEF" w14:textId="77777777" w:rsidR="00FD13D4" w:rsidRPr="00B722CD" w:rsidRDefault="004E3577">
      <w:pPr>
        <w:spacing w:after="190" w:line="300" w:lineRule="auto"/>
        <w:jc w:val="both"/>
      </w:pPr>
      <w:r w:rsidRPr="00B722CD">
        <w:t>La pregunta no debería ser si el Estado puede reemplazar al mercado mediante una supercomputadora. Debe ser otra.</w:t>
      </w:r>
    </w:p>
    <w:p w14:paraId="5E7075FF" w14:textId="77777777" w:rsidR="00FD13D4" w:rsidRPr="00B722CD" w:rsidRDefault="004E3577">
      <w:pPr>
        <w:spacing w:before="100" w:after="200" w:line="300" w:lineRule="auto"/>
        <w:ind w:left="500" w:right="500"/>
        <w:jc w:val="center"/>
        <w:rPr>
          <w:b/>
          <w:bCs/>
        </w:rPr>
      </w:pPr>
      <w:r w:rsidRPr="00B722CD">
        <w:rPr>
          <w:b/>
          <w:bCs/>
          <w:i/>
          <w:iCs/>
        </w:rPr>
        <w:t>Cómo puede el Estado utilizar las nuevas capacidades informacionales para mejorar la coordinación económica y acelerar un proceso de transformación productiva.</w:t>
      </w:r>
    </w:p>
    <w:p w14:paraId="1B6B9DFE" w14:textId="77777777" w:rsidR="00FD13D4" w:rsidRPr="00B722CD" w:rsidRDefault="004E3577">
      <w:pPr>
        <w:spacing w:after="190" w:line="300" w:lineRule="auto"/>
        <w:jc w:val="both"/>
      </w:pPr>
      <w:r w:rsidRPr="00B722CD">
        <w:t>Esta reformulación es particularmente importante para América Latina y el Caribe. La región enfrenta una estructura productiva heterogénea, con grandes diferencias de productividad entre empresas, sectores y territorios. A ello se agregan restricciones de innovación, financiamiento, infraestructura y capacidades institucionales. La CEPAL ha caracterizado este escenario como una trampa de baja capacidad para crecer, vinculada estrechamente con el estancamiento de la productividad.</w:t>
      </w:r>
    </w:p>
    <w:p w14:paraId="0A98D166" w14:textId="77777777" w:rsidR="00FD13D4" w:rsidRPr="00B722CD" w:rsidRDefault="004E3577">
      <w:pPr>
        <w:pStyle w:val="Ttulo1"/>
        <w:spacing w:before="380" w:after="180"/>
        <w:rPr>
          <w:color w:val="auto"/>
        </w:rPr>
      </w:pPr>
      <w:r w:rsidRPr="00B722CD">
        <w:rPr>
          <w:color w:val="auto"/>
        </w:rPr>
        <w:t>2. El problema ya no es solamente la capacidad de cómputo</w:t>
      </w:r>
    </w:p>
    <w:p w14:paraId="23A5EB68" w14:textId="77777777" w:rsidR="00FD13D4" w:rsidRPr="00B722CD" w:rsidRDefault="004E3577">
      <w:pPr>
        <w:spacing w:after="190" w:line="300" w:lineRule="auto"/>
        <w:jc w:val="both"/>
      </w:pPr>
      <w:r w:rsidRPr="00B722CD">
        <w:t>Una parte importante del debate histórico sobre planificación estuvo condicionada por una limitación tecnológica, la dificultad de procesar enormes cantidades de información económica. Ese problema ha perdido centralidad. Los sistemas actuales permiten procesar matrices insumo-producto de gran dimensión, analizar millones de registros y actualizar información productiva con una velocidad impensable décadas atrás.</w:t>
      </w:r>
    </w:p>
    <w:p w14:paraId="2F44B4D9" w14:textId="77777777" w:rsidR="00FD13D4" w:rsidRPr="00B722CD" w:rsidRDefault="004E3577">
      <w:pPr>
        <w:spacing w:after="190" w:line="300" w:lineRule="auto"/>
        <w:jc w:val="both"/>
      </w:pPr>
      <w:r w:rsidRPr="00B722CD">
        <w:t xml:space="preserve">Por lo tanto, el argumento de que la planificación resulta imposible porque ninguna computadora puede procesar la complejidad de una economía ya no constituye una objeción suficiente. Pero esto no significa que la planificación centralizada se haya vuelto viable. El problema relevante es otro. Qué información </w:t>
      </w:r>
      <w:r w:rsidRPr="00B722CD">
        <w:lastRenderedPageBreak/>
        <w:t>puede producirse, qué información permanece localizada y tácita, qué información puede agregarse y cómo debe utilizarse institucionalmente.</w:t>
      </w:r>
    </w:p>
    <w:p w14:paraId="79DAA7EB" w14:textId="77777777" w:rsidR="00FD13D4" w:rsidRPr="00B722CD" w:rsidRDefault="004E3577">
      <w:pPr>
        <w:pStyle w:val="Ttulo1"/>
        <w:spacing w:before="380" w:after="180"/>
        <w:rPr>
          <w:color w:val="auto"/>
        </w:rPr>
      </w:pPr>
      <w:r w:rsidRPr="00B722CD">
        <w:rPr>
          <w:color w:val="auto"/>
        </w:rPr>
        <w:t>3. Información, conocimiento y heterogeneidad productiva</w:t>
      </w:r>
    </w:p>
    <w:p w14:paraId="5468E053" w14:textId="77777777" w:rsidR="00FD13D4" w:rsidRPr="00B722CD" w:rsidRDefault="004E3577">
      <w:pPr>
        <w:spacing w:after="190" w:line="300" w:lineRule="auto"/>
        <w:jc w:val="both"/>
      </w:pPr>
      <w:r w:rsidRPr="00B722CD">
        <w:t>Una economía no está constituida solamente por variables observables. Una empresa puede informar su capacidad instalada, sus inventarios, sus niveles de producción y su consumo energético. Pero existen dimensiones difíciles de capturar mediante sensores o formularios administrativos.</w:t>
      </w:r>
    </w:p>
    <w:p w14:paraId="5672B707" w14:textId="77777777" w:rsidR="00FD13D4" w:rsidRPr="00B722CD" w:rsidRDefault="004E3577">
      <w:pPr>
        <w:spacing w:after="190" w:line="300" w:lineRule="auto"/>
        <w:jc w:val="both"/>
      </w:pPr>
      <w:r w:rsidRPr="00B722CD">
        <w:t>La capacidad efectiva de producción puede depender de conocimientos técnicos acumulados, relaciones con proveedores, capacidades de gestión, calidad de los trabajadores, redes empresariales, acceso al financiamiento, infraestructura disponible, capacidad de innovación y expectativas empresariales. Una parte de esta información es tácita y aparece solamente en el proceso de decisión.</w:t>
      </w:r>
    </w:p>
    <w:p w14:paraId="09E47072" w14:textId="77777777" w:rsidR="00FD13D4" w:rsidRPr="00B722CD" w:rsidRDefault="004E3577">
      <w:pPr>
        <w:spacing w:after="190" w:line="300" w:lineRule="auto"/>
        <w:jc w:val="both"/>
      </w:pPr>
      <w:r w:rsidRPr="00B722CD">
        <w:t>Por eso, un sistema digital de información económica no debería pretender eliminar la autonomía de los agentes. Su función debería ser complementarla. Este punto resulta particularmente importante en América Latina debido a la heterogeneidad estructural. Las diferencias entre grandes y pequeñas empresas, entre sectores de alta y baja productividad y entre territorios con distintas capacidades institucionales hacen que una misma política pueda producir resultados muy diferentes según el lugar y el actor al q</w:t>
      </w:r>
      <w:r w:rsidRPr="00B722CD">
        <w:t>ue se aplique.</w:t>
      </w:r>
    </w:p>
    <w:p w14:paraId="1BBA8448" w14:textId="77777777" w:rsidR="00FD13D4" w:rsidRPr="00B722CD" w:rsidRDefault="004E3577">
      <w:pPr>
        <w:pStyle w:val="Ttulo1"/>
        <w:spacing w:before="380" w:after="180"/>
        <w:rPr>
          <w:color w:val="auto"/>
        </w:rPr>
      </w:pPr>
      <w:r w:rsidRPr="00B722CD">
        <w:rPr>
          <w:color w:val="auto"/>
        </w:rPr>
        <w:t>4. De la información física a la información para el desarrollo</w:t>
      </w:r>
    </w:p>
    <w:p w14:paraId="5D7180D7" w14:textId="77777777" w:rsidR="00FD13D4" w:rsidRPr="00B722CD" w:rsidRDefault="004E3577">
      <w:pPr>
        <w:spacing w:after="190" w:line="300" w:lineRule="auto"/>
        <w:jc w:val="both"/>
      </w:pPr>
      <w:r w:rsidRPr="00B722CD">
        <w:t>Un sistema de códigos de producto y reporte de capacidad en tiempo real podría aportar una mejora significativa. Podría permitir conocer capacidad productiva disponible, utilización de plantas, niveles de inventarios, cuellos de botella, tiempos logísticos, disponibilidad de insumos críticos y consumo energético.</w:t>
      </w:r>
    </w:p>
    <w:p w14:paraId="6668AB45" w14:textId="77777777" w:rsidR="00FD13D4" w:rsidRPr="00B722CD" w:rsidRDefault="004E3577">
      <w:pPr>
        <w:spacing w:after="190" w:line="300" w:lineRule="auto"/>
        <w:jc w:val="both"/>
      </w:pPr>
      <w:r w:rsidRPr="00B722CD">
        <w:t>El beneficio principal no sería reemplazar el sistema de precios, sino reducir la latencia informativa. Una economía puede disponer de precios que indiquen escasez y demanda, pero la respuesta productiva puede producirse con meses de retraso. La información digital puede anticipar determinados problemas y permitir políticas públicas más oportunas, especialmente en sectores estratégicos como energía, transporte, alimentos, medicamentos y minerales críticos.</w:t>
      </w:r>
    </w:p>
    <w:p w14:paraId="587F56DF" w14:textId="77777777" w:rsidR="00FD13D4" w:rsidRPr="00B722CD" w:rsidRDefault="004E3577">
      <w:pPr>
        <w:pStyle w:val="Ttulo1"/>
        <w:spacing w:before="380" w:after="180"/>
        <w:rPr>
          <w:color w:val="auto"/>
        </w:rPr>
      </w:pPr>
      <w:r w:rsidRPr="00B722CD">
        <w:rPr>
          <w:color w:val="auto"/>
        </w:rPr>
        <w:t>5. Planificación indicativa como política de desarrollo productivo</w:t>
      </w:r>
    </w:p>
    <w:p w14:paraId="28349CED" w14:textId="77777777" w:rsidR="00FD13D4" w:rsidRPr="00B722CD" w:rsidRDefault="004E3577">
      <w:pPr>
        <w:spacing w:after="190" w:line="300" w:lineRule="auto"/>
        <w:jc w:val="both"/>
      </w:pPr>
      <w:r w:rsidRPr="00B722CD">
        <w:t>Desde esta perspectiva, la planificación indicativa debe ser redefinida. No consiste en establecer cuotas obligatorias de producción. Tampoco consiste en determinar administrativamente los precios. Consiste en construir una capacidad estatal de anticipación y coordinación.</w:t>
      </w:r>
    </w:p>
    <w:p w14:paraId="057509DE" w14:textId="77777777" w:rsidR="00FD13D4" w:rsidRPr="00B722CD" w:rsidRDefault="004E3577">
      <w:pPr>
        <w:spacing w:after="190" w:line="300" w:lineRule="auto"/>
        <w:jc w:val="both"/>
      </w:pPr>
      <w:r w:rsidRPr="00B722CD">
        <w:lastRenderedPageBreak/>
        <w:t>El Estado puede utilizar información agregada para identificar sectores estratégicos, anticipar cuellos de botella, orientar infraestructura, coordinar inversiones, facilitar crédito, promover innovación, desarrollar proveedores y mejorar la inserción internacional. La nueva planificación indicativa sería, por lo tanto, menos un plan que un sistema permanente de inteligencia económica para el desarrollo.</w:t>
      </w:r>
    </w:p>
    <w:p w14:paraId="76082DFC" w14:textId="77777777" w:rsidR="00FD13D4" w:rsidRPr="00B722CD" w:rsidRDefault="004E3577">
      <w:pPr>
        <w:pStyle w:val="Ttulo1"/>
        <w:spacing w:before="380" w:after="180"/>
        <w:rPr>
          <w:color w:val="auto"/>
        </w:rPr>
      </w:pPr>
      <w:r w:rsidRPr="00B722CD">
        <w:rPr>
          <w:color w:val="auto"/>
        </w:rPr>
        <w:t>6. El Estado emprendedor y articulador de capacidades</w:t>
      </w:r>
    </w:p>
    <w:p w14:paraId="32D9206C" w14:textId="77777777" w:rsidR="00FD13D4" w:rsidRPr="00B722CD" w:rsidRDefault="004E3577">
      <w:pPr>
        <w:spacing w:after="190" w:line="300" w:lineRule="auto"/>
        <w:jc w:val="both"/>
      </w:pPr>
      <w:r w:rsidRPr="00B722CD">
        <w:t xml:space="preserve">El objetivo no debería ser que el Estado conozca todo. Eso no es necesario ni posible. El objetivo es que el Estado tenga capacidad suficiente para identificar problemas que ningún actor individual puede resolver por sí mismo. Existen fallas de coordinación que el mercado no resuelve porque los beneficios de una inversión se distribuyen entre múltiples actores. Un ejemplo sencillo es la infraestructura, donde la baja inversión empresarial retroalimenta la baja infraestructura, y esta a su vez retroalimenta </w:t>
      </w:r>
      <w:r w:rsidRPr="00B722CD">
        <w:t>la baja inversión.</w:t>
      </w:r>
    </w:p>
    <w:p w14:paraId="4EBD9D16" w14:textId="77777777" w:rsidR="00FD13D4" w:rsidRPr="00B722CD" w:rsidRDefault="004E3577">
      <w:pPr>
        <w:spacing w:after="190" w:line="300" w:lineRule="auto"/>
        <w:jc w:val="both"/>
      </w:pPr>
      <w:r w:rsidRPr="00B722CD">
        <w:t xml:space="preserve">Esta idea puede profundizarse con el aporte de Mariana Mazzucato. En El Estado Emprendedor, publicado en 2013, </w:t>
      </w:r>
      <w:proofErr w:type="spellStart"/>
      <w:r w:rsidRPr="00B722CD">
        <w:t>Mazzucato</w:t>
      </w:r>
      <w:proofErr w:type="spellEnd"/>
      <w:r w:rsidRPr="00B722CD">
        <w:t xml:space="preserve"> mostró que buena parte de las tecnologías detrás del teléfono inteligente, internet, el GPS, la pantalla táctil y el asistente de voz se originaron en programas públicos de investigación de alto riesgo, no en el mercado. Su argumento central es que el Estado no se limita a corregir fallas de mercado. Crea y moldea mercados nuevos, asumiendo riesgos que el capital privado suele evitar en las etapas tempranas.</w:t>
      </w:r>
    </w:p>
    <w:p w14:paraId="5B402444" w14:textId="77777777" w:rsidR="00FD13D4" w:rsidRPr="00B722CD" w:rsidRDefault="004E3577">
      <w:pPr>
        <w:spacing w:after="190" w:line="300" w:lineRule="auto"/>
        <w:jc w:val="both"/>
      </w:pPr>
      <w:r w:rsidRPr="00B722CD">
        <w:t>Esta perspectiva es relevante para la planificación indicativa digital. La capacidad de coordinación del Estado no debería limitarse a completar información faltante. Puede incluir una función activa de inversión temprana en capacidades tecnológicas y productivas, en sectores donde el riesgo resulta demasiado alto para el capital privado.</w:t>
      </w:r>
    </w:p>
    <w:p w14:paraId="46BC2549" w14:textId="77777777" w:rsidR="00FD13D4" w:rsidRPr="00B722CD" w:rsidRDefault="004E3577">
      <w:pPr>
        <w:spacing w:after="190" w:line="300" w:lineRule="auto"/>
        <w:jc w:val="both"/>
      </w:pPr>
      <w:proofErr w:type="spellStart"/>
      <w:r w:rsidRPr="00B722CD">
        <w:t>Mazzucato</w:t>
      </w:r>
      <w:proofErr w:type="spellEnd"/>
      <w:r w:rsidRPr="00B722CD">
        <w:t xml:space="preserve"> también advirtió, en El Valor de Todo, publicado en 2018, sobre la diferencia entre creación de valor y extracción de valor. Sostuvo que buena parte de las ganancias financieras contemporáneas no genera valor nuevo, sino que captura valor generado en otra parte, muchas veces con origen en inversión pública. Esta distinción importa para el diseño de la planificación indicativa digital. La información pública no debería convertirse en un insumo gratuito para la extracción privada de rentas. Debería diseñarse</w:t>
      </w:r>
      <w:r w:rsidRPr="00B722CD">
        <w:t xml:space="preserve"> con mecanismos que aseguren un retorno social de la inversión pública en información.</w:t>
      </w:r>
    </w:p>
    <w:p w14:paraId="3AEF4087" w14:textId="77777777" w:rsidR="00FD13D4" w:rsidRPr="00B722CD" w:rsidRDefault="004E3577">
      <w:pPr>
        <w:pStyle w:val="Ttulo1"/>
        <w:spacing w:before="380" w:after="180"/>
        <w:rPr>
          <w:color w:val="auto"/>
        </w:rPr>
      </w:pPr>
      <w:r w:rsidRPr="00B722CD">
        <w:rPr>
          <w:color w:val="auto"/>
        </w:rPr>
        <w:t>7. El desafío de la articulación público-privada</w:t>
      </w:r>
    </w:p>
    <w:p w14:paraId="078B612D" w14:textId="77777777" w:rsidR="00FD13D4" w:rsidRPr="00B722CD" w:rsidRDefault="004E3577">
      <w:pPr>
        <w:spacing w:after="190" w:line="300" w:lineRule="auto"/>
        <w:jc w:val="both"/>
      </w:pPr>
      <w:r w:rsidRPr="00B722CD">
        <w:t>La planificación indicativa digital no puede ser exclusivamente estatal. Debe construirse mediante mecanismos institucionalizados de interacción entre el Estado nacional, los gobiernos subnacionales, las empresas, los trabajadores, las universidades, los centros tecnológicos y las instituciones financieras.</w:t>
      </w:r>
    </w:p>
    <w:p w14:paraId="091B9E91" w14:textId="77777777" w:rsidR="00FD13D4" w:rsidRPr="00B722CD" w:rsidRDefault="004E3577">
      <w:pPr>
        <w:spacing w:after="190" w:line="300" w:lineRule="auto"/>
        <w:jc w:val="both"/>
      </w:pPr>
      <w:r w:rsidRPr="00B722CD">
        <w:t xml:space="preserve">La información debe circular en ambas direcciones. El Estado necesita información de las empresas. Pero las empresas también necesitan información pública sobre infraestructura, mercados externos, </w:t>
      </w:r>
      <w:r w:rsidRPr="00B722CD">
        <w:lastRenderedPageBreak/>
        <w:t>capacidades tecnológicas, formación de recursos humanos y tendencias internacionales. La política de desarrollo productivo se convierte así en un proceso de descubrimiento y coordinación colectiva.</w:t>
      </w:r>
    </w:p>
    <w:p w14:paraId="039EE264" w14:textId="77777777" w:rsidR="00FD13D4" w:rsidRPr="00B722CD" w:rsidRDefault="004E3577">
      <w:pPr>
        <w:pStyle w:val="Ttulo1"/>
        <w:spacing w:before="380" w:after="180"/>
        <w:rPr>
          <w:color w:val="auto"/>
        </w:rPr>
      </w:pPr>
      <w:r w:rsidRPr="00B722CD">
        <w:rPr>
          <w:color w:val="auto"/>
        </w:rPr>
        <w:t>8. Transparencia, un beneficio que puede convertirse en riesgo</w:t>
      </w:r>
    </w:p>
    <w:p w14:paraId="015FD546" w14:textId="77777777" w:rsidR="00FD13D4" w:rsidRPr="00B722CD" w:rsidRDefault="004E3577">
      <w:pPr>
        <w:spacing w:after="190" w:line="300" w:lineRule="auto"/>
        <w:jc w:val="both"/>
      </w:pPr>
      <w:r w:rsidRPr="00B722CD">
        <w:t>La digitalización también introduce nuevos riesgos. Una política de transparencia mal diseñada puede facilitar la coordinación anticompetitiva entre empresas. Si competidores conocen en tiempo real precios, márgenes, capacidad, inventarios y costos, pueden utilizar esa información para coordinar comportamientos.</w:t>
      </w:r>
    </w:p>
    <w:p w14:paraId="548581B8" w14:textId="77777777" w:rsidR="00FD13D4" w:rsidRPr="00B722CD" w:rsidRDefault="004E3577">
      <w:pPr>
        <w:spacing w:after="190" w:line="300" w:lineRule="auto"/>
        <w:jc w:val="both"/>
      </w:pPr>
      <w:r w:rsidRPr="00B722CD">
        <w:t>Por ello, una infraestructura pública de información económica debe incorporar salvaguardas desde su diseño. La información sensible debería agregarse antes de publicarse, difundirse con rezagos cuando corresponda, proteger la información comercial estratégica y someterse a controles institucionales que impidan su uso para prácticas anticompetitivas. La transformación digital del Estado no consiste en acumular datos. Consiste en construir instituciones capaces de gobernar los datos.</w:t>
      </w:r>
    </w:p>
    <w:p w14:paraId="20CE5EE4" w14:textId="77777777" w:rsidR="00FD13D4" w:rsidRPr="00B722CD" w:rsidRDefault="004E3577">
      <w:pPr>
        <w:pStyle w:val="Ttulo1"/>
        <w:spacing w:before="380" w:after="180"/>
        <w:rPr>
          <w:color w:val="auto"/>
        </w:rPr>
      </w:pPr>
      <w:r w:rsidRPr="00B722CD">
        <w:rPr>
          <w:color w:val="auto"/>
        </w:rPr>
        <w:t>9. Inteligencia artificial y nueva capacidad estatal</w:t>
      </w:r>
    </w:p>
    <w:p w14:paraId="281B171D" w14:textId="77777777" w:rsidR="00FD13D4" w:rsidRPr="00B722CD" w:rsidRDefault="004E3577">
      <w:pPr>
        <w:spacing w:after="190" w:line="300" w:lineRule="auto"/>
        <w:jc w:val="both"/>
      </w:pPr>
      <w:r w:rsidRPr="00B722CD">
        <w:t>La incorporación de inteligencia artificial modifica todavía más el escenario. Permite pasar de sistemas que simplemente registran información a sistemas capaces de detectar patrones, anticipar interrupciones, simular escenarios, estimar demanda y recomendar intervenciones.</w:t>
      </w:r>
    </w:p>
    <w:p w14:paraId="3252758C" w14:textId="77777777" w:rsidR="00FD13D4" w:rsidRPr="00B722CD" w:rsidRDefault="004E3577">
      <w:pPr>
        <w:spacing w:after="190" w:line="300" w:lineRule="auto"/>
        <w:jc w:val="both"/>
      </w:pPr>
      <w:r w:rsidRPr="00B722CD">
        <w:t>Pero la inteligencia artificial no elimina la necesidad de instituciones. Una recomendación algorítmica no es una decisión política. La decisión sobre qué sectores promover, qué desigualdades reducir o qué riesgos aceptar pertenece al ámbito de la política pública y requiere legitimidad democrática.</w:t>
      </w:r>
    </w:p>
    <w:p w14:paraId="207456AD" w14:textId="77777777" w:rsidR="00FD13D4" w:rsidRPr="00B722CD" w:rsidRDefault="004E3577">
      <w:pPr>
        <w:pStyle w:val="Ttulo1"/>
        <w:spacing w:before="380" w:after="180"/>
        <w:rPr>
          <w:color w:val="auto"/>
        </w:rPr>
      </w:pPr>
      <w:r w:rsidRPr="00B722CD">
        <w:rPr>
          <w:color w:val="auto"/>
        </w:rPr>
        <w:t>10. Misión y economía de propósito</w:t>
      </w:r>
    </w:p>
    <w:p w14:paraId="2A2DE405" w14:textId="77777777" w:rsidR="00FD13D4" w:rsidRPr="00B722CD" w:rsidRDefault="004E3577">
      <w:pPr>
        <w:spacing w:after="190" w:line="300" w:lineRule="auto"/>
        <w:jc w:val="both"/>
      </w:pPr>
      <w:r w:rsidRPr="00B722CD">
        <w:t xml:space="preserve">El tercer aporte de </w:t>
      </w:r>
      <w:proofErr w:type="spellStart"/>
      <w:r w:rsidRPr="00B722CD">
        <w:t>Mazzucato</w:t>
      </w:r>
      <w:proofErr w:type="spellEnd"/>
      <w:r w:rsidRPr="00B722CD">
        <w:t xml:space="preserve"> relevante para este documento es su trabajo sobre política de misión. En Misión Economía, publicado en 2021, propuso, inspirada en el programa Apolo de la NASA, que las políticas públicas se organicen alrededor de misiones concretas, con objetivos ambiciosos, medibles y con plazos definidos.</w:t>
      </w:r>
    </w:p>
    <w:p w14:paraId="3D915DFF" w14:textId="77777777" w:rsidR="00FD13D4" w:rsidRPr="00B722CD" w:rsidRDefault="004E3577">
      <w:pPr>
        <w:spacing w:after="190" w:line="300" w:lineRule="auto"/>
        <w:jc w:val="both"/>
      </w:pPr>
      <w:r w:rsidRPr="00B722CD">
        <w:t>Una misión no es un sector. Es un problema que atraviesa varios sectores y requiere coordinación entre ellos. El programa Apolo no fue una política aeroespacial sectorial. Articuló electrónica, materiales, software y manufactura alrededor de un objetivo compartido.</w:t>
      </w:r>
    </w:p>
    <w:p w14:paraId="0CCFD2BC" w14:textId="77777777" w:rsidR="00FD13D4" w:rsidRPr="00B722CD" w:rsidRDefault="004E3577">
      <w:pPr>
        <w:spacing w:after="190" w:line="300" w:lineRule="auto"/>
        <w:jc w:val="both"/>
      </w:pPr>
      <w:r w:rsidRPr="00B722CD">
        <w:t xml:space="preserve">Aplicar esta lógica a la planificación indicativa digital implica que el sistema de información no debería organizarse únicamente por sector productivo. Debería organizarse también alrededor de misiones </w:t>
      </w:r>
      <w:r w:rsidRPr="00B722CD">
        <w:lastRenderedPageBreak/>
        <w:t>transversales, como la transición energética, la soberanía en insumos críticos o la reducción de la heterogeneidad territorial.</w:t>
      </w:r>
    </w:p>
    <w:p w14:paraId="1BD43AA2" w14:textId="77777777" w:rsidR="00FD13D4" w:rsidRPr="00B722CD" w:rsidRDefault="004E3577">
      <w:pPr>
        <w:spacing w:after="190" w:line="300" w:lineRule="auto"/>
        <w:jc w:val="both"/>
      </w:pPr>
      <w:proofErr w:type="spellStart"/>
      <w:r w:rsidRPr="00B722CD">
        <w:t>Mazzucato</w:t>
      </w:r>
      <w:proofErr w:type="spellEnd"/>
      <w:r w:rsidRPr="00B722CD">
        <w:t xml:space="preserve"> subraya además que las misiones requieren capacidades dinámicas del sector público, no solo financiamiento. Esto refuerza el argumento de este documento sobre la necesidad de un núcleo técnico con autonomía y capacidad de aprendizaje institucional, desarrollado en la segunda parte. También destaca la importancia de condicionalidades en el financiamiento público, para que los beneficios de la inversión estatal se compartan con la sociedad y no queden capturados únicamente por las empresas beneficiarias. Est</w:t>
      </w:r>
      <w:r w:rsidRPr="00B722CD">
        <w:t>e principio se retoma más adelante, en la sección sobre financiamiento e incentivos.</w:t>
      </w:r>
    </w:p>
    <w:p w14:paraId="37DA2581" w14:textId="77777777" w:rsidR="00FD13D4" w:rsidRPr="00B722CD" w:rsidRDefault="004E3577">
      <w:pPr>
        <w:pStyle w:val="Ttulo1"/>
        <w:spacing w:before="380" w:after="180"/>
        <w:rPr>
          <w:color w:val="auto"/>
        </w:rPr>
      </w:pPr>
      <w:r w:rsidRPr="00B722CD">
        <w:rPr>
          <w:color w:val="auto"/>
        </w:rPr>
        <w:t>11. Seis principios para una planificación indicativa digital</w:t>
      </w:r>
    </w:p>
    <w:p w14:paraId="46DD98BC" w14:textId="77777777" w:rsidR="00FD13D4" w:rsidRPr="00B722CD" w:rsidRDefault="004E3577">
      <w:pPr>
        <w:spacing w:after="190" w:line="300" w:lineRule="auto"/>
        <w:jc w:val="both"/>
      </w:pPr>
      <w:r w:rsidRPr="00B722CD">
        <w:rPr>
          <w:b/>
          <w:bCs/>
        </w:rPr>
        <w:t>Primero, observar antes que intervenir.</w:t>
      </w:r>
      <w:r w:rsidRPr="00B722CD">
        <w:t xml:space="preserve"> El sistema debe generar información y capacidades de anticipación antes que imponer decisiones.</w:t>
      </w:r>
    </w:p>
    <w:p w14:paraId="3E393A17" w14:textId="77777777" w:rsidR="00FD13D4" w:rsidRPr="00B722CD" w:rsidRDefault="004E3577">
      <w:pPr>
        <w:spacing w:after="190" w:line="300" w:lineRule="auto"/>
        <w:jc w:val="both"/>
      </w:pPr>
      <w:r w:rsidRPr="00B722CD">
        <w:rPr>
          <w:b/>
          <w:bCs/>
        </w:rPr>
        <w:t>Segundo, agregar la información sensible.</w:t>
      </w:r>
      <w:r w:rsidRPr="00B722CD">
        <w:t xml:space="preserve"> Los datos que puedan afectar la competencia no deberían exponerse de manera individualizada.</w:t>
      </w:r>
    </w:p>
    <w:p w14:paraId="34765D5F" w14:textId="77777777" w:rsidR="00FD13D4" w:rsidRPr="00B722CD" w:rsidRDefault="004E3577">
      <w:pPr>
        <w:spacing w:after="190" w:line="300" w:lineRule="auto"/>
        <w:jc w:val="both"/>
      </w:pPr>
      <w:r w:rsidRPr="00B722CD">
        <w:rPr>
          <w:b/>
          <w:bCs/>
        </w:rPr>
        <w:t>Tercero, utilizar rezagos cuando sean necesarios.</w:t>
      </w:r>
      <w:r w:rsidRPr="00B722CD">
        <w:t xml:space="preserve"> La información en tiempo real no siempre constituye un bien público. En determinados mercados puede facilitar conductas anticompetitivas.</w:t>
      </w:r>
    </w:p>
    <w:p w14:paraId="3BE8D742" w14:textId="77777777" w:rsidR="00FD13D4" w:rsidRPr="00B722CD" w:rsidRDefault="004E3577">
      <w:pPr>
        <w:spacing w:after="190" w:line="300" w:lineRule="auto"/>
        <w:jc w:val="both"/>
      </w:pPr>
      <w:r w:rsidRPr="00B722CD">
        <w:rPr>
          <w:b/>
          <w:bCs/>
        </w:rPr>
        <w:t>Cuarto, orientar, no sustituir.</w:t>
      </w:r>
      <w:r w:rsidRPr="00B722CD">
        <w:t xml:space="preserve"> La información debe usarse para orientar infraestructura, crédito, innovación y capacidades productivas, no para imponer cuotas generales de producción.</w:t>
      </w:r>
    </w:p>
    <w:p w14:paraId="6E96DF55" w14:textId="77777777" w:rsidR="00FD13D4" w:rsidRPr="00B722CD" w:rsidRDefault="004E3577">
      <w:pPr>
        <w:spacing w:after="190" w:line="300" w:lineRule="auto"/>
        <w:jc w:val="both"/>
      </w:pPr>
      <w:r w:rsidRPr="00B722CD">
        <w:rPr>
          <w:b/>
          <w:bCs/>
        </w:rPr>
        <w:t>Quinto, construir capacidades institucionales.</w:t>
      </w:r>
      <w:r w:rsidRPr="00B722CD">
        <w:t xml:space="preserve"> La agencia responsable debe disponer de autonomía técnica, recursos humanos especializados y mecanismos de coordinación con otras instituciones.</w:t>
      </w:r>
    </w:p>
    <w:p w14:paraId="2D02B059" w14:textId="77777777" w:rsidR="00FD13D4" w:rsidRPr="00B722CD" w:rsidRDefault="004E3577">
      <w:pPr>
        <w:spacing w:after="190" w:line="300" w:lineRule="auto"/>
        <w:jc w:val="both"/>
      </w:pPr>
      <w:r w:rsidRPr="00B722CD">
        <w:rPr>
          <w:b/>
          <w:bCs/>
        </w:rPr>
        <w:t>Sexto, auditar y cruzar información.</w:t>
      </w:r>
      <w:r w:rsidRPr="00B722CD">
        <w:t xml:space="preserve"> Los datos deben contrastarse con información energética, comercial, tributaria, logística y productiva. Esto permite reducir errores y comportamientos estratégicos.</w:t>
      </w:r>
    </w:p>
    <w:p w14:paraId="5B341288" w14:textId="77777777" w:rsidR="00FD13D4" w:rsidRPr="00B722CD" w:rsidRDefault="004E3577">
      <w:pPr>
        <w:pStyle w:val="Ttulo1"/>
        <w:spacing w:before="380" w:after="180"/>
        <w:rPr>
          <w:color w:val="auto"/>
        </w:rPr>
      </w:pPr>
      <w:r w:rsidRPr="00B722CD">
        <w:rPr>
          <w:color w:val="auto"/>
        </w:rPr>
        <w:t>12. Hacia una infraestructura pública de inteligencia productiva</w:t>
      </w:r>
    </w:p>
    <w:p w14:paraId="77B7E131" w14:textId="77777777" w:rsidR="00FD13D4" w:rsidRPr="00B722CD" w:rsidRDefault="004E3577">
      <w:pPr>
        <w:spacing w:after="190" w:line="300" w:lineRule="auto"/>
        <w:jc w:val="both"/>
      </w:pPr>
      <w:r w:rsidRPr="00B722CD">
        <w:t>Estos principios permiten pensar en una institución nueva, un Sistema Nacional de Información e Inteligencia Productiva. Su función sería integrar información proveniente de registros empresariales, comercio exterior, energía, transporte, producción, empleo, ciencia y tecnología, infraestructura y territorios.</w:t>
      </w:r>
    </w:p>
    <w:p w14:paraId="64470351" w14:textId="77777777" w:rsidR="00FD13D4" w:rsidRPr="00B722CD" w:rsidRDefault="004E3577">
      <w:pPr>
        <w:spacing w:after="190" w:line="300" w:lineRule="auto"/>
        <w:jc w:val="both"/>
      </w:pPr>
      <w:r w:rsidRPr="00B722CD">
        <w:t>La finalidad no sería controlar a las empresas. Sería construir una infraestructura pública de conocimiento para el desarrollo. La inteligencia artificial permitiría identificar relaciones no siempre visibles mediante los instrumentos estadísticos tradicionales, pero la decisión final continuaría siendo institucional y política.</w:t>
      </w:r>
    </w:p>
    <w:p w14:paraId="135737A2" w14:textId="77777777" w:rsidR="00FD13D4" w:rsidRPr="00B722CD" w:rsidRDefault="004E3577">
      <w:pPr>
        <w:pStyle w:val="Ttulo1"/>
        <w:spacing w:before="380" w:after="180"/>
        <w:rPr>
          <w:color w:val="auto"/>
        </w:rPr>
      </w:pPr>
      <w:r w:rsidRPr="00B722CD">
        <w:rPr>
          <w:color w:val="auto"/>
        </w:rPr>
        <w:lastRenderedPageBreak/>
        <w:t>13. Sectores prioritarios</w:t>
      </w:r>
    </w:p>
    <w:p w14:paraId="13FE0956" w14:textId="77777777" w:rsidR="00FD13D4" w:rsidRPr="00B722CD" w:rsidRDefault="004E3577">
      <w:pPr>
        <w:spacing w:after="190" w:line="300" w:lineRule="auto"/>
        <w:jc w:val="both"/>
      </w:pPr>
      <w:r w:rsidRPr="00B722CD">
        <w:t>La planificación indicativa digital no debería aplicarse indiscriminadamente a toda la economía. Su mayor utilidad se encuentra en sectores con fuertes interdependencias y externalidades, como energía, transporte, telecomunicaciones, infraestructura, alimentos, salud, medicamentos, semiconductores, minerales críticos y economía verde.</w:t>
      </w:r>
    </w:p>
    <w:p w14:paraId="13B8E6A9" w14:textId="77777777" w:rsidR="00FD13D4" w:rsidRPr="00B722CD" w:rsidRDefault="004E3577">
      <w:pPr>
        <w:spacing w:after="190" w:line="300" w:lineRule="auto"/>
        <w:jc w:val="both"/>
      </w:pPr>
      <w:r w:rsidRPr="00B722CD">
        <w:t>También puede resultar especialmente útil durante emergencias. La experiencia de las disrupciones de cadenas globales durante la pandemia mostró la importancia de conocer rápidamente dónde se encuentran los cuellos de botella productivos. En estos casos, el valor de la información no reside solamente en conocer qué está ocurriendo, sino en anticipar qué podría ocurrir si no se interviene.</w:t>
      </w:r>
    </w:p>
    <w:p w14:paraId="3775A0A3" w14:textId="77777777" w:rsidR="00FD13D4" w:rsidRPr="00B722CD" w:rsidRDefault="004E3577">
      <w:pPr>
        <w:pStyle w:val="Ttulo1"/>
        <w:spacing w:before="380" w:after="180"/>
        <w:rPr>
          <w:color w:val="auto"/>
        </w:rPr>
      </w:pPr>
      <w:r w:rsidRPr="00B722CD">
        <w:rPr>
          <w:color w:val="auto"/>
        </w:rPr>
        <w:t>14. De la planificación indicativa a la transformación productiva</w:t>
      </w:r>
    </w:p>
    <w:p w14:paraId="36A04C61" w14:textId="77777777" w:rsidR="00FD13D4" w:rsidRPr="00B722CD" w:rsidRDefault="004E3577">
      <w:pPr>
        <w:spacing w:after="190" w:line="300" w:lineRule="auto"/>
        <w:jc w:val="both"/>
      </w:pPr>
      <w:r w:rsidRPr="00B722CD">
        <w:t>La cuestión central, desde una perspectiva latinoamericana, no es recuperar la planificación central. Es construir una capacidad estatal acorde con una economía compleja, digital y globalizada. La planificación indicativa del siglo veintiuno debería cumplir cuatro funciones. Observar la estructura productiva. Anticipar restricciones y oportunidades. Coordinar actores e inversiones. Orientar recursos hacia objetivos estratégicos de desarrollo.</w:t>
      </w:r>
    </w:p>
    <w:p w14:paraId="3E9F03CC" w14:textId="77777777" w:rsidR="00FD13D4" w:rsidRPr="00B722CD" w:rsidRDefault="004E3577">
      <w:pPr>
        <w:spacing w:after="190" w:line="300" w:lineRule="auto"/>
        <w:jc w:val="both"/>
      </w:pPr>
      <w:r w:rsidRPr="00B722CD">
        <w:t>La finalidad última debería ser el cambio estructural. No se trata simplemente de producir más, sino de producir de manera diferente, con mayor productividad, mayor valor agregado, mayor contenido tecnológico y mejores empleos.</w:t>
      </w:r>
    </w:p>
    <w:p w14:paraId="75618BC9" w14:textId="77777777" w:rsidR="00FD13D4" w:rsidRPr="00B722CD" w:rsidRDefault="004E3577">
      <w:pPr>
        <w:pStyle w:val="Ttulo1"/>
        <w:spacing w:before="380" w:after="180"/>
        <w:rPr>
          <w:color w:val="auto"/>
        </w:rPr>
      </w:pPr>
      <w:r w:rsidRPr="00B722CD">
        <w:rPr>
          <w:color w:val="auto"/>
        </w:rPr>
        <w:t>15. Una nueva relación entre Estado, mercado y tecnología</w:t>
      </w:r>
    </w:p>
    <w:p w14:paraId="3A3CA6B0" w14:textId="77777777" w:rsidR="00FD13D4" w:rsidRPr="00B722CD" w:rsidRDefault="004E3577">
      <w:pPr>
        <w:spacing w:after="190" w:line="300" w:lineRule="auto"/>
        <w:jc w:val="both"/>
      </w:pPr>
      <w:r w:rsidRPr="00B722CD">
        <w:t>El debate histórico entre planificación y mercado puede quedar superado por una formulación más productiva. No se trata de elegir entre Estado o mercado. La cuestión contemporánea es construir Estado, mercado, capacidades de coordinación y tecnología, integrados en un mismo diseño institucional.</w:t>
      </w:r>
    </w:p>
    <w:p w14:paraId="43D393C4" w14:textId="77777777" w:rsidR="00FD13D4" w:rsidRPr="00B722CD" w:rsidRDefault="004E3577">
      <w:pPr>
        <w:spacing w:after="190" w:line="300" w:lineRule="auto"/>
        <w:jc w:val="both"/>
      </w:pPr>
      <w:r w:rsidRPr="00B722CD">
        <w:t>El mercado continúa siendo un mecanismo fundamental de descubrimiento, asignación y generación de información. El Estado, sin embargo, puede cumplir funciones que el mercado no realiza adecuadamente por sí solo, como proveer infraestructura, coordinar inversiones complementarias, reducir incertidumbre y construir capacidades productivas. La tecnología digital puede mejorar esas funciones, pero solamente si está subordinada a objetivos de desarrollo y a instituciones capaces de gobernarla.</w:t>
      </w:r>
    </w:p>
    <w:p w14:paraId="26D89A46" w14:textId="77777777" w:rsidR="00FD13D4" w:rsidRPr="00B722CD" w:rsidRDefault="004E3577">
      <w:pPr>
        <w:pStyle w:val="Ttulo1"/>
        <w:spacing w:before="380" w:after="180"/>
        <w:rPr>
          <w:color w:val="auto"/>
        </w:rPr>
      </w:pPr>
      <w:r w:rsidRPr="00B722CD">
        <w:rPr>
          <w:color w:val="auto"/>
        </w:rPr>
        <w:t>16. Cierre de la parte conceptual</w:t>
      </w:r>
    </w:p>
    <w:p w14:paraId="5EA341A0" w14:textId="77777777" w:rsidR="00FD13D4" w:rsidRPr="00B722CD" w:rsidRDefault="004E3577">
      <w:pPr>
        <w:spacing w:after="190" w:line="300" w:lineRule="auto"/>
        <w:jc w:val="both"/>
      </w:pPr>
      <w:r w:rsidRPr="00B722CD">
        <w:lastRenderedPageBreak/>
        <w:t>La revolución digital no resucita la planificación central del siglo veinte. Tampoco vuelve irrelevante al Estado. Produce algo diferente, una oportunidad para construir nuevas capacidades públicas de coordinación económica.</w:t>
      </w:r>
    </w:p>
    <w:p w14:paraId="38197AEE" w14:textId="77777777" w:rsidR="00FD13D4" w:rsidRPr="00B722CD" w:rsidRDefault="004E3577">
      <w:pPr>
        <w:spacing w:after="190" w:line="300" w:lineRule="auto"/>
        <w:jc w:val="both"/>
      </w:pPr>
      <w:r w:rsidRPr="00B722CD">
        <w:t>Un algoritmo puede identificar un cuello de botella. No puede determinar por sí mismo qué sociedad debe priorizarlo. Un sistema de inteligencia artificial puede proyectar escenarios. No puede otorgar legitimidad democrática a la decisión adoptada. Por eso, el desafío no consiste en construir un Estado que pretenda saberlo todo. Consiste en construir un Estado que sepa observar, aprender, coordinar y actuar estratégicamente.</w:t>
      </w:r>
    </w:p>
    <w:p w14:paraId="448DD434" w14:textId="77777777" w:rsidR="00FD13D4" w:rsidRPr="00B722CD" w:rsidRDefault="004E3577">
      <w:pPr>
        <w:pageBreakBefore/>
        <w:spacing w:before="500" w:after="300"/>
      </w:pPr>
      <w:r w:rsidRPr="00B722CD">
        <w:rPr>
          <w:b/>
          <w:bCs/>
          <w:sz w:val="32"/>
          <w:szCs w:val="32"/>
        </w:rPr>
        <w:lastRenderedPageBreak/>
        <w:t>Parte II. Desarrollo operativo</w:t>
      </w:r>
    </w:p>
    <w:p w14:paraId="10129D45" w14:textId="77777777" w:rsidR="00FD13D4" w:rsidRPr="00B722CD" w:rsidRDefault="004E3577">
      <w:pPr>
        <w:pStyle w:val="Ttulo1"/>
        <w:spacing w:before="380" w:after="180"/>
        <w:rPr>
          <w:color w:val="auto"/>
        </w:rPr>
      </w:pPr>
      <w:r w:rsidRPr="00B722CD">
        <w:rPr>
          <w:color w:val="auto"/>
        </w:rPr>
        <w:t>17. Arquitectura institucional propuesta</w:t>
      </w:r>
    </w:p>
    <w:p w14:paraId="35281365" w14:textId="77777777" w:rsidR="00FD13D4" w:rsidRPr="00B722CD" w:rsidRDefault="004E3577">
      <w:pPr>
        <w:spacing w:after="190" w:line="300" w:lineRule="auto"/>
        <w:jc w:val="both"/>
      </w:pPr>
      <w:r w:rsidRPr="00B722CD">
        <w:t>Una capacidad de este tipo necesita un diseño institucional concreto. No alcanza con declarar el objetivo. Se requiere una estructura con funciones separadas y responsables definidos. Se proponen cuatro componentes.</w:t>
      </w:r>
    </w:p>
    <w:p w14:paraId="5D7CCD6D" w14:textId="77777777" w:rsidR="00FD13D4" w:rsidRPr="00B722CD" w:rsidRDefault="004E3577">
      <w:pPr>
        <w:spacing w:after="190" w:line="300" w:lineRule="auto"/>
        <w:jc w:val="both"/>
      </w:pPr>
      <w:r w:rsidRPr="00B722CD">
        <w:rPr>
          <w:b/>
          <w:bCs/>
        </w:rPr>
        <w:t>Núcleo de inteligencia productiva.</w:t>
      </w:r>
      <w:r w:rsidRPr="00B722CD">
        <w:t xml:space="preserve"> Es la unidad técnica encargada de recibir, agregar y procesar la información. Debe tener autonomía técnica y estar protegida de presiones sectoriales de corto plazo. Su función es analítica, no ejecutiva.</w:t>
      </w:r>
    </w:p>
    <w:p w14:paraId="17E1B03B" w14:textId="77777777" w:rsidR="00FD13D4" w:rsidRPr="00B722CD" w:rsidRDefault="004E3577">
      <w:pPr>
        <w:spacing w:after="190" w:line="300" w:lineRule="auto"/>
        <w:jc w:val="both"/>
      </w:pPr>
      <w:r w:rsidRPr="00B722CD">
        <w:rPr>
          <w:b/>
          <w:bCs/>
        </w:rPr>
        <w:t>Mesa de coordinación público-privada.</w:t>
      </w:r>
      <w:r w:rsidRPr="00B722CD">
        <w:t xml:space="preserve"> Es el espacio donde la información se traduce en decisiones. Participan representantes empresariales, sindicales, académicos y de gobiernos subnacionales. No decide por votación. Delibera y propone.</w:t>
      </w:r>
    </w:p>
    <w:p w14:paraId="483294E9" w14:textId="77777777" w:rsidR="00FD13D4" w:rsidRPr="00B722CD" w:rsidRDefault="004E3577">
      <w:pPr>
        <w:spacing w:after="190" w:line="300" w:lineRule="auto"/>
        <w:jc w:val="both"/>
      </w:pPr>
      <w:r w:rsidRPr="00B722CD">
        <w:rPr>
          <w:b/>
          <w:bCs/>
        </w:rPr>
        <w:t>Comité de gobernanza de datos.</w:t>
      </w:r>
      <w:r w:rsidRPr="00B722CD">
        <w:t xml:space="preserve"> Es responsable de las salvaguardas descritas en la sección 8. Define qué información se agrega, qué información se difunde con rezago y qué información queda protegida. Rinde cuentas ante un organismo de control de la competencia.</w:t>
      </w:r>
    </w:p>
    <w:p w14:paraId="57878170" w14:textId="77777777" w:rsidR="00FD13D4" w:rsidRPr="00B722CD" w:rsidRDefault="004E3577">
      <w:pPr>
        <w:spacing w:after="190" w:line="300" w:lineRule="auto"/>
        <w:jc w:val="both"/>
      </w:pPr>
      <w:r w:rsidRPr="00B722CD">
        <w:rPr>
          <w:b/>
          <w:bCs/>
        </w:rPr>
        <w:t>Instancia política de decisión.</w:t>
      </w:r>
      <w:r w:rsidRPr="00B722CD">
        <w:t xml:space="preserve"> Recibe las recomendaciones del núcleo técnico y de la mesa de coordinación. Toma las decisiones finales sobre prioridades sectoriales y territoriales. El componente técnico informa. No reemplaza a la política.</w:t>
      </w:r>
    </w:p>
    <w:p w14:paraId="047D9AE1" w14:textId="77777777" w:rsidR="00FD13D4" w:rsidRPr="00B722CD" w:rsidRDefault="004E3577">
      <w:pPr>
        <w:spacing w:after="190" w:line="300" w:lineRule="auto"/>
        <w:jc w:val="both"/>
      </w:pPr>
      <w:r w:rsidRPr="00B722CD">
        <w:t>Esta separación de funciones evita dos riesgos. Evita que la tecnocracia sustituya la decisión democrática. Evita también que la política ignore la evidencia técnica disponible.</w:t>
      </w:r>
    </w:p>
    <w:p w14:paraId="61AB6082" w14:textId="77777777" w:rsidR="00FD13D4" w:rsidRPr="00B722CD" w:rsidRDefault="004E3577">
      <w:pPr>
        <w:pStyle w:val="Ttulo1"/>
        <w:spacing w:before="380" w:after="180"/>
        <w:rPr>
          <w:color w:val="auto"/>
        </w:rPr>
      </w:pPr>
      <w:r w:rsidRPr="00B722CD">
        <w:rPr>
          <w:color w:val="auto"/>
        </w:rPr>
        <w:t>18. Un sistema de indicadores para medir el avance</w:t>
      </w:r>
    </w:p>
    <w:p w14:paraId="06A252F7" w14:textId="77777777" w:rsidR="00FD13D4" w:rsidRPr="00B722CD" w:rsidRDefault="004E3577">
      <w:pPr>
        <w:spacing w:after="190" w:line="300" w:lineRule="auto"/>
        <w:jc w:val="both"/>
      </w:pPr>
      <w:r w:rsidRPr="00B722CD">
        <w:t>Una capacidad de coordinación necesita métricas propias. Sin indicadores, la propuesta queda en el plano declarativo. Se proponen cuatro familias.</w:t>
      </w:r>
    </w:p>
    <w:p w14:paraId="1C558B40" w14:textId="77777777" w:rsidR="00FD13D4" w:rsidRPr="00B722CD" w:rsidRDefault="004E3577">
      <w:pPr>
        <w:spacing w:after="190" w:line="300" w:lineRule="auto"/>
        <w:jc w:val="both"/>
      </w:pPr>
      <w:r w:rsidRPr="00B722CD">
        <w:rPr>
          <w:b/>
          <w:bCs/>
        </w:rPr>
        <w:t>Indicadores de captura de información.</w:t>
      </w:r>
      <w:r w:rsidRPr="00B722CD">
        <w:t xml:space="preserve"> Miden cobertura sectorial, cobertura territorial y frecuencia de actualización de los datos productivos.</w:t>
      </w:r>
    </w:p>
    <w:p w14:paraId="18CBCE99" w14:textId="77777777" w:rsidR="00FD13D4" w:rsidRPr="00B722CD" w:rsidRDefault="004E3577">
      <w:pPr>
        <w:spacing w:after="190" w:line="300" w:lineRule="auto"/>
        <w:jc w:val="both"/>
      </w:pPr>
      <w:r w:rsidRPr="00B722CD">
        <w:rPr>
          <w:b/>
          <w:bCs/>
        </w:rPr>
        <w:t>Indicadores de anticipación.</w:t>
      </w:r>
      <w:r w:rsidRPr="00B722CD">
        <w:t xml:space="preserve"> Miden la capacidad del sistema para detectar cuellos de botella antes de que se conviertan en crisis de oferta.</w:t>
      </w:r>
    </w:p>
    <w:p w14:paraId="5DC18DD6" w14:textId="77777777" w:rsidR="00FD13D4" w:rsidRPr="00B722CD" w:rsidRDefault="004E3577">
      <w:pPr>
        <w:spacing w:after="190" w:line="300" w:lineRule="auto"/>
        <w:jc w:val="both"/>
      </w:pPr>
      <w:r w:rsidRPr="00B722CD">
        <w:rPr>
          <w:b/>
          <w:bCs/>
        </w:rPr>
        <w:t>Indicadores de coordinación.</w:t>
      </w:r>
      <w:r w:rsidRPr="00B722CD">
        <w:t xml:space="preserve"> Miden cuántas decisiones de inversión, crédito o infraestructura surgieron de un proceso formal de la mesa de coordinación.</w:t>
      </w:r>
    </w:p>
    <w:p w14:paraId="656B24CE" w14:textId="77777777" w:rsidR="00FD13D4" w:rsidRPr="00B722CD" w:rsidRDefault="004E3577">
      <w:pPr>
        <w:spacing w:after="190" w:line="300" w:lineRule="auto"/>
        <w:jc w:val="both"/>
      </w:pPr>
      <w:r w:rsidRPr="00B722CD">
        <w:rPr>
          <w:b/>
          <w:bCs/>
        </w:rPr>
        <w:lastRenderedPageBreak/>
        <w:t>Indicadores de resultado productivo.</w:t>
      </w:r>
      <w:r w:rsidRPr="00B722CD">
        <w:t xml:space="preserve"> Son los indicadores finales. Productividad total de los factores por sector. Diversificación de exportaciones. Reducción de la heterogeneidad productiva entre regiones.</w:t>
      </w:r>
    </w:p>
    <w:p w14:paraId="5A6FD969" w14:textId="77777777" w:rsidR="00FD13D4" w:rsidRPr="00B722CD" w:rsidRDefault="004E3577">
      <w:pPr>
        <w:pStyle w:val="Ttulo1"/>
        <w:spacing w:before="380" w:after="180"/>
        <w:rPr>
          <w:color w:val="auto"/>
        </w:rPr>
      </w:pPr>
      <w:r w:rsidRPr="00B722CD">
        <w:rPr>
          <w:color w:val="auto"/>
        </w:rPr>
        <w:t>19. Casos comparados internacionales</w:t>
      </w:r>
    </w:p>
    <w:p w14:paraId="0FF4848A" w14:textId="77777777" w:rsidR="00FD13D4" w:rsidRPr="00B722CD" w:rsidRDefault="004E3577">
      <w:pPr>
        <w:spacing w:after="190" w:line="300" w:lineRule="auto"/>
        <w:jc w:val="both"/>
      </w:pPr>
      <w:r w:rsidRPr="00B722CD">
        <w:t>Ningún país de la región ha implementado un sistema exactamente como el descrito. Sin embargo, existen experiencias parciales que iluminan distintos componentes.</w:t>
      </w:r>
    </w:p>
    <w:p w14:paraId="328D4B1F" w14:textId="77777777" w:rsidR="00FD13D4" w:rsidRPr="00B722CD" w:rsidRDefault="004E3577">
      <w:pPr>
        <w:spacing w:after="190" w:line="300" w:lineRule="auto"/>
        <w:jc w:val="both"/>
      </w:pPr>
      <w:r w:rsidRPr="00B722CD">
        <w:rPr>
          <w:b/>
          <w:bCs/>
        </w:rPr>
        <w:t>Corea del Sur.</w:t>
      </w:r>
      <w:r w:rsidRPr="00B722CD">
        <w:t xml:space="preserve"> El Ministerio de Comercio, Industria y Energía mantiene un sistema de monitoreo permanente de cadenas de suministro para insumos críticos. Su función es exclusivamente de anticipación. No fija cuotas de producción.</w:t>
      </w:r>
    </w:p>
    <w:p w14:paraId="7187A572" w14:textId="77777777" w:rsidR="00FD13D4" w:rsidRPr="00B722CD" w:rsidRDefault="004E3577">
      <w:pPr>
        <w:spacing w:after="190" w:line="300" w:lineRule="auto"/>
        <w:jc w:val="both"/>
      </w:pPr>
      <w:r w:rsidRPr="00B722CD">
        <w:rPr>
          <w:b/>
          <w:bCs/>
        </w:rPr>
        <w:t>Singapur.</w:t>
      </w:r>
      <w:r w:rsidRPr="00B722CD">
        <w:t xml:space="preserve"> El </w:t>
      </w:r>
      <w:proofErr w:type="spellStart"/>
      <w:r w:rsidRPr="00B722CD">
        <w:t>Economic</w:t>
      </w:r>
      <w:proofErr w:type="spellEnd"/>
      <w:r w:rsidRPr="00B722CD">
        <w:t xml:space="preserve"> </w:t>
      </w:r>
      <w:proofErr w:type="spellStart"/>
      <w:r w:rsidRPr="00B722CD">
        <w:t>Development</w:t>
      </w:r>
      <w:proofErr w:type="spellEnd"/>
      <w:r w:rsidRPr="00B722CD">
        <w:t xml:space="preserve"> Board combina información empresarial, proyecciones de inversión extranjera y planificación de infraestructura en un solo proceso de decisión.</w:t>
      </w:r>
    </w:p>
    <w:p w14:paraId="7BE307A9" w14:textId="77777777" w:rsidR="00FD13D4" w:rsidRPr="00B722CD" w:rsidRDefault="004E3577">
      <w:pPr>
        <w:spacing w:after="190" w:line="300" w:lineRule="auto"/>
        <w:jc w:val="both"/>
      </w:pPr>
      <w:r w:rsidRPr="00B722CD">
        <w:rPr>
          <w:b/>
          <w:bCs/>
        </w:rPr>
        <w:t>Chile.</w:t>
      </w:r>
      <w:r w:rsidRPr="00B722CD">
        <w:t xml:space="preserve"> El programa de transformación digital de CORFO avanzó en digitalización de trámites y en plataformas de datos abiertos para pymes, aunque todavía no integra información de capacidad productiva en tiempo real.</w:t>
      </w:r>
    </w:p>
    <w:p w14:paraId="4FA9EB56" w14:textId="77777777" w:rsidR="00FD13D4" w:rsidRPr="00B722CD" w:rsidRDefault="004E3577">
      <w:pPr>
        <w:spacing w:after="190" w:line="300" w:lineRule="auto"/>
        <w:jc w:val="both"/>
      </w:pPr>
      <w:r w:rsidRPr="00B722CD">
        <w:rPr>
          <w:b/>
          <w:bCs/>
        </w:rPr>
        <w:t>Brasil.</w:t>
      </w:r>
      <w:r w:rsidRPr="00B722CD">
        <w:t xml:space="preserve"> El estado de São Paulo desarrolló sistemas de monitoreo logístico y energético con participación de cámaras empresariales, con una gobernanza principalmente subnacional.</w:t>
      </w:r>
    </w:p>
    <w:p w14:paraId="44B60F58" w14:textId="77777777" w:rsidR="00FD13D4" w:rsidRPr="00B722CD" w:rsidRDefault="004E3577">
      <w:pPr>
        <w:pStyle w:val="Ttulo1"/>
        <w:spacing w:before="380" w:after="180"/>
        <w:rPr>
          <w:color w:val="auto"/>
        </w:rPr>
      </w:pPr>
      <w:r w:rsidRPr="00B722CD">
        <w:rPr>
          <w:color w:val="auto"/>
        </w:rPr>
        <w:t>20. Experiencias locales en Argentina</w:t>
      </w:r>
    </w:p>
    <w:p w14:paraId="1777794A" w14:textId="77777777" w:rsidR="00FD13D4" w:rsidRPr="00B722CD" w:rsidRDefault="004E3577">
      <w:pPr>
        <w:spacing w:after="190" w:line="300" w:lineRule="auto"/>
        <w:jc w:val="both"/>
      </w:pPr>
      <w:r w:rsidRPr="00B722CD">
        <w:t>Argentina cuenta con antecedentes propios que anticipan, de manera parcial, distintos componentes de la propuesta. Cuatro casos resultan especialmente relevantes.</w:t>
      </w:r>
    </w:p>
    <w:p w14:paraId="5D74C8F3" w14:textId="77777777" w:rsidR="00FD13D4" w:rsidRPr="00B722CD" w:rsidRDefault="004E3577">
      <w:pPr>
        <w:spacing w:after="190" w:line="300" w:lineRule="auto"/>
        <w:jc w:val="both"/>
      </w:pPr>
      <w:r w:rsidRPr="00B722CD">
        <w:rPr>
          <w:b/>
          <w:bCs/>
        </w:rPr>
        <w:t>CONICET y empresas.</w:t>
      </w:r>
      <w:r w:rsidRPr="00B722CD">
        <w:t xml:space="preserve"> El Consejo Nacional de Investigaciones Científicas y Técnicas mantiene oficinas de vinculación tecnológica que conectan investigadores con empresas. El caso más citado es el desarrollo de la tecnología HB4, un gen de tolerancia a la sequía obtenido en investigación pública liderada por la científica Raquel Chan, licenciado comercialmente a través de la empresa </w:t>
      </w:r>
      <w:proofErr w:type="spellStart"/>
      <w:r w:rsidRPr="00B722CD">
        <w:t>Bioceres</w:t>
      </w:r>
      <w:proofErr w:type="spellEnd"/>
      <w:r w:rsidRPr="00B722CD">
        <w:t>, que luego se convirtió en una compañía de biotecnología agrícola de escala internacional. También corresponde mencionar a Y-TEC, empresa m</w:t>
      </w:r>
      <w:r w:rsidRPr="00B722CD">
        <w:t xml:space="preserve">ixta entre YPF y CONICET dedicada a investigación en energía, litio y biocombustibles. Estos casos ilustran el potencial señalado por </w:t>
      </w:r>
      <w:proofErr w:type="spellStart"/>
      <w:r w:rsidRPr="00B722CD">
        <w:t>Mazzucato</w:t>
      </w:r>
      <w:proofErr w:type="spellEnd"/>
      <w:r w:rsidRPr="00B722CD">
        <w:t>, la inversión pública temprana en investigación puede crear un activo de gran valor. También ilustran la tensión que ella advierte, conviene preguntarse en qué medida ese valor retorna al sistema público que lo hizo posible.</w:t>
      </w:r>
    </w:p>
    <w:p w14:paraId="644DED8A" w14:textId="77777777" w:rsidR="00FD13D4" w:rsidRPr="00B722CD" w:rsidRDefault="004E3577">
      <w:pPr>
        <w:spacing w:after="190" w:line="300" w:lineRule="auto"/>
        <w:jc w:val="both"/>
      </w:pPr>
      <w:r w:rsidRPr="00B722CD">
        <w:rPr>
          <w:b/>
          <w:bCs/>
        </w:rPr>
        <w:t>INTI y empresas.</w:t>
      </w:r>
      <w:r w:rsidRPr="00B722CD">
        <w:t xml:space="preserve"> El Instituto Nacional de Tecnología Industrial brinda asistencia técnica, certificación de calidad, normalización y desarrollo de proveedores para pymes industriales. Su modelo de vinculación está orientado a resolver problemas productivos concretos de empresas existentes, más que a generar conocimiento nuevo. Constituye un antecedente directo del núcleo de inteligencia productiva propuesto </w:t>
      </w:r>
      <w:r w:rsidRPr="00B722CD">
        <w:lastRenderedPageBreak/>
        <w:t>en la sección 17, aplicado a escala sectorial, aunque con un presupuesto y una capacidad de anticipación sistémica to</w:t>
      </w:r>
      <w:r w:rsidRPr="00B722CD">
        <w:t>davía limitados.</w:t>
      </w:r>
    </w:p>
    <w:p w14:paraId="1C9EAA1E" w14:textId="77777777" w:rsidR="00FD13D4" w:rsidRPr="00B722CD" w:rsidRDefault="004E3577">
      <w:pPr>
        <w:spacing w:after="190" w:line="300" w:lineRule="auto"/>
        <w:jc w:val="both"/>
      </w:pPr>
      <w:r w:rsidRPr="00B722CD">
        <w:rPr>
          <w:b/>
          <w:bCs/>
        </w:rPr>
        <w:t>INTA y empresas.</w:t>
      </w:r>
      <w:r w:rsidRPr="00B722CD">
        <w:t xml:space="preserve"> El Instituto Nacional de Tecnología Agropecuaria articula investigación pública con productores agropecuarios y con la industria de insumos, a través de una red de estaciones experimentales distribuidas en el territorio. Esa red constituye un antecedente relevante para la dimensión territorial de la planificación indicativa digital, planteada en la sección 3. El desarrollo de nuevas variedades de semillas y de paquetes tecnológicos agrícolas muestra un modelo de transferencia con impacto productivo medible</w:t>
      </w:r>
      <w:r w:rsidRPr="00B722CD">
        <w:t>.</w:t>
      </w:r>
    </w:p>
    <w:p w14:paraId="0DF0F25B" w14:textId="77777777" w:rsidR="00FD13D4" w:rsidRPr="00B722CD" w:rsidRDefault="004E3577">
      <w:pPr>
        <w:spacing w:after="190" w:line="300" w:lineRule="auto"/>
        <w:jc w:val="both"/>
      </w:pPr>
      <w:r w:rsidRPr="00B722CD">
        <w:rPr>
          <w:b/>
          <w:bCs/>
        </w:rPr>
        <w:t>CONEA, INVAP y el desarrollo nuclear argentino.</w:t>
      </w:r>
      <w:r w:rsidRPr="00B722CD">
        <w:t xml:space="preserve"> La Comisión Nacional de Energía Atómica, creada a mediados del siglo veinte, impulsó un programa nuclear nacional con un objetivo estratégico definido, dominar el ciclo de combustible y desarrollar reactores de investigación propios. INVAP, empresa estatal de la provincia de Río Negro creada en 1976 a partir de esa capacidad acumulada en el Centro Atómico Bariloche, se convirtió en una de las pocas empresas del mundo capaces de diseñar y exportar reactores nucleares de investigación llave en mano. Construy</w:t>
      </w:r>
      <w:r w:rsidRPr="00B722CD">
        <w:t>ó o exportó reactores y plantas de radioisótopos a Perú, Argelia, Egipto, Australia, Arabia Saudita, India y Países Bajos, y provee servicios de tecnología nuclear a otros países. También desarrolló satélites de observación y radares. El proyecto CAREM, un reactor modular de potencia diseñado íntegramente en el país, continúa esa misma trayectoria, aunque con demoras y discontinuidades de financiamiento que ilustran el riesgo señalado en la sección 21, la pérdida de continuidad institucional cuando cambia l</w:t>
      </w:r>
      <w:r w:rsidRPr="00B722CD">
        <w:t xml:space="preserve">a prioridad política. INVAP es, probablemente, el caso argentino más cercano al concepto de misión tecnológica estatal que propone </w:t>
      </w:r>
      <w:proofErr w:type="spellStart"/>
      <w:r w:rsidRPr="00B722CD">
        <w:t>Mazzucato</w:t>
      </w:r>
      <w:proofErr w:type="spellEnd"/>
      <w:r w:rsidRPr="00B722CD">
        <w:t xml:space="preserve"> en Misión Economía, un objetivo ambicioso, sostenido durante varias décadas y con capacidades públicas acumuladas de manera deliberada.</w:t>
      </w:r>
    </w:p>
    <w:p w14:paraId="6F8E3C09" w14:textId="77777777" w:rsidR="00FD13D4" w:rsidRPr="00B722CD" w:rsidRDefault="004E3577">
      <w:pPr>
        <w:spacing w:after="190" w:line="300" w:lineRule="auto"/>
        <w:jc w:val="both"/>
      </w:pPr>
      <w:r w:rsidRPr="00B722CD">
        <w:t>Estos cuatro casos, CONICET y empresas, INTI y empresas, INTA y empresas, y CONEA con INVAP, muestran que Argentina ya cuenta con antecedentes parciales de los cuatro componentes institucionales propuestos en la sección 17. Lo que falta no es capacidad técnica aislada. Falta integración sistémica entre esas capacidades, dentro de un mismo diseño de planificación indicativa digital.</w:t>
      </w:r>
    </w:p>
    <w:p w14:paraId="3EA22134" w14:textId="77777777" w:rsidR="00FD13D4" w:rsidRPr="00B722CD" w:rsidRDefault="004E3577">
      <w:pPr>
        <w:pStyle w:val="Ttulo1"/>
        <w:spacing w:before="380" w:after="180"/>
        <w:rPr>
          <w:color w:val="auto"/>
        </w:rPr>
      </w:pPr>
      <w:r w:rsidRPr="00B722CD">
        <w:rPr>
          <w:color w:val="auto"/>
        </w:rPr>
        <w:t>21. Hoja de ruta de implementación</w:t>
      </w:r>
    </w:p>
    <w:p w14:paraId="6CE08C26" w14:textId="1990F2C1" w:rsidR="00FD13D4" w:rsidRPr="00B722CD" w:rsidRDefault="004E3577">
      <w:pPr>
        <w:spacing w:after="190" w:line="300" w:lineRule="auto"/>
        <w:jc w:val="both"/>
      </w:pPr>
      <w:r w:rsidRPr="00B722CD">
        <w:rPr>
          <w:b/>
          <w:bCs/>
        </w:rPr>
        <w:t xml:space="preserve">Fase uno, </w:t>
      </w:r>
      <w:r w:rsidR="00FF1811">
        <w:rPr>
          <w:b/>
          <w:bCs/>
        </w:rPr>
        <w:t>inicial</w:t>
      </w:r>
      <w:r w:rsidRPr="00B722CD">
        <w:rPr>
          <w:b/>
          <w:bCs/>
        </w:rPr>
        <w:t>.</w:t>
      </w:r>
      <w:r w:rsidRPr="00B722CD">
        <w:t xml:space="preserve"> Se construye el núcleo de inteligencia productiva. Se selecciona un número reducido de sectores estratégicos para el piloto. Se diseñan las salvaguardas de gobernanza de datos desde el inicio, no después.</w:t>
      </w:r>
    </w:p>
    <w:p w14:paraId="7D6D79D9" w14:textId="78526F6C" w:rsidR="00FD13D4" w:rsidRPr="00B722CD" w:rsidRDefault="004E3577">
      <w:pPr>
        <w:spacing w:after="190" w:line="300" w:lineRule="auto"/>
        <w:jc w:val="both"/>
      </w:pPr>
      <w:r w:rsidRPr="00B722CD">
        <w:rPr>
          <w:b/>
          <w:bCs/>
        </w:rPr>
        <w:t xml:space="preserve">Fase dos, </w:t>
      </w:r>
      <w:r w:rsidR="00FF1811">
        <w:rPr>
          <w:b/>
          <w:bCs/>
        </w:rPr>
        <w:t>tres</w:t>
      </w:r>
      <w:r w:rsidRPr="00B722CD">
        <w:rPr>
          <w:b/>
          <w:bCs/>
        </w:rPr>
        <w:t xml:space="preserve"> años.</w:t>
      </w:r>
      <w:r w:rsidRPr="00B722CD">
        <w:t xml:space="preserve"> Se incorpora la mesa de coordinación público-privada. Se amplía la cobertura sectorial. Se integran gobiernos subnacionales en países federales.</w:t>
      </w:r>
    </w:p>
    <w:p w14:paraId="6BE87756" w14:textId="22FA9F56" w:rsidR="00FD13D4" w:rsidRPr="00B722CD" w:rsidRDefault="004E3577">
      <w:pPr>
        <w:spacing w:after="190" w:line="300" w:lineRule="auto"/>
        <w:jc w:val="both"/>
      </w:pPr>
      <w:r w:rsidRPr="00B722CD">
        <w:rPr>
          <w:b/>
          <w:bCs/>
        </w:rPr>
        <w:t xml:space="preserve">Fase tres, a partir del </w:t>
      </w:r>
      <w:r w:rsidR="00FF1811">
        <w:rPr>
          <w:b/>
          <w:bCs/>
        </w:rPr>
        <w:t>cuarto</w:t>
      </w:r>
      <w:r w:rsidRPr="00B722CD">
        <w:rPr>
          <w:b/>
          <w:bCs/>
        </w:rPr>
        <w:t xml:space="preserve"> año.</w:t>
      </w:r>
      <w:r w:rsidRPr="00B722CD">
        <w:t xml:space="preserve"> Se incorpora inteligencia artificial para detección de patrones y simulación de escenarios. Se evalúa el impacto sobre productividad y diversificación exportadora.</w:t>
      </w:r>
    </w:p>
    <w:p w14:paraId="503701AC" w14:textId="77777777" w:rsidR="00FD13D4" w:rsidRPr="00B722CD" w:rsidRDefault="004E3577">
      <w:pPr>
        <w:spacing w:after="190" w:line="300" w:lineRule="auto"/>
        <w:jc w:val="both"/>
      </w:pPr>
      <w:r w:rsidRPr="00B722CD">
        <w:lastRenderedPageBreak/>
        <w:t>Esta secuencia responde a una razón práctica. Las capacidades institucionales no se construyen por decreto. Un piloto acotado permite corregir errores de diseño antes de escalar el sistema a toda la economía.</w:t>
      </w:r>
    </w:p>
    <w:p w14:paraId="6947FED2" w14:textId="77777777" w:rsidR="00FD13D4" w:rsidRPr="00B722CD" w:rsidRDefault="004E3577">
      <w:pPr>
        <w:pStyle w:val="Ttulo1"/>
        <w:spacing w:before="380" w:after="180"/>
        <w:rPr>
          <w:color w:val="auto"/>
        </w:rPr>
      </w:pPr>
      <w:r w:rsidRPr="00B722CD">
        <w:rPr>
          <w:color w:val="auto"/>
        </w:rPr>
        <w:t>22. Financiamiento e incentivos a la participación</w:t>
      </w:r>
    </w:p>
    <w:p w14:paraId="0A07A83E" w14:textId="77777777" w:rsidR="00FD13D4" w:rsidRPr="00B722CD" w:rsidRDefault="004E3577">
      <w:pPr>
        <w:spacing w:after="190" w:line="300" w:lineRule="auto"/>
        <w:jc w:val="both"/>
      </w:pPr>
      <w:r w:rsidRPr="00B722CD">
        <w:t>Un sistema de este tipo requiere financiamiento público inicial y también incentivos para que las empresas reporten información con calidad y continuidad. El financiamiento puede provenir de organismos multilaterales de desarrollo, dado que varios de ellos ya financian proyectos de transformación digital del Estado en la región.</w:t>
      </w:r>
    </w:p>
    <w:p w14:paraId="62CDFFDA" w14:textId="77777777" w:rsidR="00FD13D4" w:rsidRPr="00B722CD" w:rsidRDefault="004E3577">
      <w:pPr>
        <w:pStyle w:val="Prrafodelista"/>
        <w:numPr>
          <w:ilvl w:val="0"/>
          <w:numId w:val="1"/>
        </w:numPr>
        <w:spacing w:after="90" w:line="276" w:lineRule="auto"/>
      </w:pPr>
      <w:r w:rsidRPr="00B722CD">
        <w:t>Acceso preferencial a líneas de crédito público para las empresas que reportan información de calidad.</w:t>
      </w:r>
    </w:p>
    <w:p w14:paraId="13DD4A48" w14:textId="77777777" w:rsidR="00FD13D4" w:rsidRPr="00B722CD" w:rsidRDefault="004E3577">
      <w:pPr>
        <w:pStyle w:val="Prrafodelista"/>
        <w:numPr>
          <w:ilvl w:val="0"/>
          <w:numId w:val="1"/>
        </w:numPr>
        <w:spacing w:after="90" w:line="276" w:lineRule="auto"/>
      </w:pPr>
      <w:r w:rsidRPr="00B722CD">
        <w:t>Prioridad en programas de desarrollo de proveedores y en ventanillas de innovación tecnológica.</w:t>
      </w:r>
    </w:p>
    <w:p w14:paraId="2B7757D7" w14:textId="77777777" w:rsidR="00FD13D4" w:rsidRPr="00B722CD" w:rsidRDefault="004E3577">
      <w:pPr>
        <w:pStyle w:val="Prrafodelista"/>
        <w:numPr>
          <w:ilvl w:val="0"/>
          <w:numId w:val="1"/>
        </w:numPr>
        <w:spacing w:after="90" w:line="276" w:lineRule="auto"/>
      </w:pPr>
      <w:r w:rsidRPr="00B722CD">
        <w:t>Retorno directo de información agregada útil para la toma de decisiones empresariales.</w:t>
      </w:r>
    </w:p>
    <w:p w14:paraId="1C71A8FA" w14:textId="77777777" w:rsidR="00FD13D4" w:rsidRPr="00B722CD" w:rsidRDefault="004E3577">
      <w:pPr>
        <w:spacing w:after="190" w:line="300" w:lineRule="auto"/>
        <w:jc w:val="both"/>
      </w:pPr>
      <w:proofErr w:type="spellStart"/>
      <w:r w:rsidRPr="00B722CD">
        <w:t>Mazzucato</w:t>
      </w:r>
      <w:proofErr w:type="spellEnd"/>
      <w:r w:rsidRPr="00B722CD">
        <w:t xml:space="preserve"> insiste en un punto adicional, especialmente relevante después del caso de CONICET y </w:t>
      </w:r>
      <w:proofErr w:type="spellStart"/>
      <w:r w:rsidRPr="00B722CD">
        <w:t>Bioceres</w:t>
      </w:r>
      <w:proofErr w:type="spellEnd"/>
      <w:r w:rsidRPr="00B722CD">
        <w:t>. El financiamiento público no debería otorgarse sin condicionalidades. Cuando el Estado asume el riesgo temprano de una tecnología, conviene incorporar cláusulas de retorno, participación en resultados o reinversión, para que la relación entre el sector público y el privado sea simbiótica y no unilateral.</w:t>
      </w:r>
    </w:p>
    <w:p w14:paraId="4F6C3871" w14:textId="77777777" w:rsidR="00FD13D4" w:rsidRPr="00B722CD" w:rsidRDefault="004E3577">
      <w:pPr>
        <w:pStyle w:val="Ttulo1"/>
        <w:spacing w:before="380" w:after="180"/>
        <w:rPr>
          <w:color w:val="auto"/>
        </w:rPr>
      </w:pPr>
      <w:r w:rsidRPr="00B722CD">
        <w:rPr>
          <w:color w:val="auto"/>
        </w:rPr>
        <w:t>23. Riesgos y condiciones de fracaso</w:t>
      </w:r>
    </w:p>
    <w:p w14:paraId="05BE14AE" w14:textId="77777777" w:rsidR="00FD13D4" w:rsidRPr="00B722CD" w:rsidRDefault="004E3577">
      <w:pPr>
        <w:spacing w:after="190" w:line="300" w:lineRule="auto"/>
        <w:jc w:val="both"/>
      </w:pPr>
      <w:r w:rsidRPr="00B722CD">
        <w:t>Puede fracasar si el núcleo técnico pierde autonomía y se convierte en instrumento de negociación política de corto plazo.</w:t>
      </w:r>
    </w:p>
    <w:p w14:paraId="682C1194" w14:textId="77777777" w:rsidR="00FD13D4" w:rsidRPr="00B722CD" w:rsidRDefault="004E3577">
      <w:pPr>
        <w:spacing w:after="190" w:line="300" w:lineRule="auto"/>
        <w:jc w:val="both"/>
      </w:pPr>
      <w:r w:rsidRPr="00B722CD">
        <w:t>Puede fracasar si las salvaguardas de competencia no se diseñan desde el inicio y el sistema termina facilitando coordinación anticompetitiva entre empresas grandes.</w:t>
      </w:r>
    </w:p>
    <w:p w14:paraId="7DAB47B5" w14:textId="77777777" w:rsidR="00FD13D4" w:rsidRPr="00B722CD" w:rsidRDefault="004E3577">
      <w:pPr>
        <w:spacing w:after="190" w:line="300" w:lineRule="auto"/>
        <w:jc w:val="both"/>
      </w:pPr>
      <w:r w:rsidRPr="00B722CD">
        <w:t>Puede fracasar si la mesa de coordinación se convierte en un espacio de captura por parte de sectores con mayor poder de organización, dejando afuera a pequeñas empresas y territorios rezagados.</w:t>
      </w:r>
    </w:p>
    <w:p w14:paraId="2EEAEF01" w14:textId="77777777" w:rsidR="00FD13D4" w:rsidRPr="00B722CD" w:rsidRDefault="004E3577">
      <w:pPr>
        <w:spacing w:after="190" w:line="300" w:lineRule="auto"/>
        <w:jc w:val="both"/>
      </w:pPr>
      <w:r w:rsidRPr="00B722CD">
        <w:t>Puede fracasar si se pretende escalar a toda la economía sin pasar por una fase piloto. El caso de INVAP en la década de 1990, cuando la cancelación de proyectos de su único cliente estatal redujo su planta de personal de manera drástica, muestra además un riesgo adicional, la dependencia de un financiamiento público discontinuo puede poner en peligro capacidades acumuladas durante décadas.</w:t>
      </w:r>
    </w:p>
    <w:p w14:paraId="05DFC3C5" w14:textId="77777777" w:rsidR="00FD13D4" w:rsidRPr="00B722CD" w:rsidRDefault="004E3577">
      <w:pPr>
        <w:pStyle w:val="Ttulo1"/>
        <w:spacing w:before="380" w:after="180"/>
        <w:rPr>
          <w:color w:val="auto"/>
        </w:rPr>
      </w:pPr>
      <w:r w:rsidRPr="00B722CD">
        <w:rPr>
          <w:color w:val="auto"/>
        </w:rPr>
        <w:t>24. Síntesis final</w:t>
      </w:r>
    </w:p>
    <w:p w14:paraId="74661E33" w14:textId="77777777" w:rsidR="00FD13D4" w:rsidRPr="00B722CD" w:rsidRDefault="004E3577">
      <w:pPr>
        <w:spacing w:after="190" w:line="300" w:lineRule="auto"/>
        <w:jc w:val="both"/>
      </w:pPr>
      <w:r w:rsidRPr="00B722CD">
        <w:lastRenderedPageBreak/>
        <w:t xml:space="preserve">Este documento sostuvo que la información en tiempo real no revive la planificación central, pero puede fortalecer la capacidad de coordinación del Estado. Incorporó, junto a la tradición </w:t>
      </w:r>
      <w:proofErr w:type="spellStart"/>
      <w:r w:rsidRPr="00B722CD">
        <w:t>cepalina</w:t>
      </w:r>
      <w:proofErr w:type="spellEnd"/>
      <w:r w:rsidRPr="00B722CD">
        <w:t xml:space="preserve"> de cambio estructural, los tres aportes principales de Mariana Mazzucato, el Estado como inversor emprendedor que asume riesgo temprano, la distinción entre creación y extracción de valor, y la organización de políticas públicas alrededor de misiones concretas.</w:t>
      </w:r>
    </w:p>
    <w:p w14:paraId="0CA18F3B" w14:textId="77777777" w:rsidR="00FD13D4" w:rsidRPr="00B722CD" w:rsidRDefault="004E3577">
      <w:pPr>
        <w:spacing w:after="190" w:line="300" w:lineRule="auto"/>
        <w:jc w:val="both"/>
      </w:pPr>
      <w:r w:rsidRPr="00B722CD">
        <w:t xml:space="preserve">La segunda parte bajó esa propuesta a un plano operativo. Definió una arquitectura institucional con cuatro funciones separadas. Propuso un sistema de indicadores en cuatro familias. Revisó experiencias internacionales y, con mayor detalle, cuatro experiencias argentinas, CONICET, INTI e INTA en su vinculación con empresas, y CONEA junto con INVAP en el desarrollo nuclear. Propuso una hoja de ruta en tres fases, identificó mecanismos de financiamiento con condicionalidades y enumeró los riesgos principales </w:t>
      </w:r>
      <w:r w:rsidRPr="00B722CD">
        <w:t>de implementación.</w:t>
      </w:r>
    </w:p>
    <w:p w14:paraId="2D0071EC" w14:textId="77777777" w:rsidR="00FD13D4" w:rsidRPr="00B722CD" w:rsidRDefault="004E3577">
      <w:pPr>
        <w:spacing w:after="190" w:line="300" w:lineRule="auto"/>
        <w:jc w:val="both"/>
      </w:pPr>
      <w:r w:rsidRPr="00B722CD">
        <w:t>La propuesta completa queda así en dos niveles. El nivel conceptual explica por qué esta capacidad es necesaria para la transformación productiva de América Latina y el Caribe. El nivel operativo explica cómo podría construirse, apoyándose en capacidades que el país ya construyó en el pasado, sin repetir los errores de la planificación centralizada del siglo veinte.</w:t>
      </w:r>
    </w:p>
    <w:p w14:paraId="051F3A03" w14:textId="77777777" w:rsidR="00FD13D4" w:rsidRPr="00B722CD" w:rsidRDefault="004E3577">
      <w:pPr>
        <w:pStyle w:val="Ttulo1"/>
        <w:spacing w:before="380" w:after="180"/>
        <w:rPr>
          <w:color w:val="auto"/>
        </w:rPr>
      </w:pPr>
      <w:r w:rsidRPr="00B722CD">
        <w:rPr>
          <w:color w:val="auto"/>
        </w:rPr>
        <w:t>Referencias</w:t>
      </w:r>
    </w:p>
    <w:p w14:paraId="1A013F50" w14:textId="77777777" w:rsidR="00FD13D4" w:rsidRPr="00B722CD" w:rsidRDefault="004E3577">
      <w:pPr>
        <w:spacing w:after="190" w:line="300" w:lineRule="auto"/>
        <w:jc w:val="both"/>
      </w:pPr>
      <w:r w:rsidRPr="00B722CD">
        <w:t>CEPAL (2025). Panorama de las Políticas de Desarrollo Productivo en América Latina y el Caribe, 2025. Cómo salir de la trampa de baja capacidad para crecer. Santiago de Chile, Naciones Unidas.</w:t>
      </w:r>
    </w:p>
    <w:p w14:paraId="3CE698B5" w14:textId="77777777" w:rsidR="00FD13D4" w:rsidRPr="00B722CD" w:rsidRDefault="004E3577">
      <w:pPr>
        <w:spacing w:after="190" w:line="300" w:lineRule="auto"/>
        <w:jc w:val="both"/>
      </w:pPr>
      <w:r w:rsidRPr="00B722CD">
        <w:t>CEPAL (2024). Panorama de las Políticas de Desarrollo Productivo en América Latina y el Caribe, 2024. Cómo promover la gran transformación productiva que requiere la región. Santiago de Chile, Naciones Unidas.</w:t>
      </w:r>
    </w:p>
    <w:p w14:paraId="757D3DE1" w14:textId="77777777" w:rsidR="00FD13D4" w:rsidRPr="00B722CD" w:rsidRDefault="004E3577">
      <w:pPr>
        <w:spacing w:after="190" w:line="300" w:lineRule="auto"/>
        <w:jc w:val="both"/>
        <w:rPr>
          <w:lang w:val="en-US"/>
        </w:rPr>
      </w:pPr>
      <w:r w:rsidRPr="00B722CD">
        <w:t xml:space="preserve">CEPAL (2026). Guía de implementación de proyectos de inteligencia artificial en el sector público. </w:t>
      </w:r>
      <w:r w:rsidRPr="00B722CD">
        <w:rPr>
          <w:lang w:val="en-US"/>
        </w:rPr>
        <w:t xml:space="preserve">Santiago de Chile, </w:t>
      </w:r>
      <w:proofErr w:type="spellStart"/>
      <w:r w:rsidRPr="00B722CD">
        <w:rPr>
          <w:lang w:val="en-US"/>
        </w:rPr>
        <w:t>Naciones</w:t>
      </w:r>
      <w:proofErr w:type="spellEnd"/>
      <w:r w:rsidRPr="00B722CD">
        <w:rPr>
          <w:lang w:val="en-US"/>
        </w:rPr>
        <w:t xml:space="preserve"> Unidas.</w:t>
      </w:r>
    </w:p>
    <w:p w14:paraId="20418B70" w14:textId="77777777" w:rsidR="00FD13D4" w:rsidRPr="00B722CD" w:rsidRDefault="004E3577">
      <w:pPr>
        <w:spacing w:after="190" w:line="300" w:lineRule="auto"/>
        <w:jc w:val="both"/>
      </w:pPr>
      <w:r w:rsidRPr="00B722CD">
        <w:rPr>
          <w:lang w:val="en-US"/>
        </w:rPr>
        <w:t xml:space="preserve">Mazzucato, M. (2013). </w:t>
      </w:r>
      <w:r w:rsidRPr="00B722CD">
        <w:t>El Estado emprendedor. Mitos del sector público frente al privado.</w:t>
      </w:r>
    </w:p>
    <w:p w14:paraId="0D8F1491" w14:textId="77777777" w:rsidR="00FD13D4" w:rsidRPr="00B722CD" w:rsidRDefault="004E3577">
      <w:pPr>
        <w:spacing w:after="190" w:line="300" w:lineRule="auto"/>
        <w:jc w:val="both"/>
      </w:pPr>
      <w:proofErr w:type="spellStart"/>
      <w:r w:rsidRPr="00B722CD">
        <w:t>Mazzucato</w:t>
      </w:r>
      <w:proofErr w:type="spellEnd"/>
      <w:r w:rsidRPr="00B722CD">
        <w:t>, M. (2018). El valor de todo. Quién produce y quién gana en la economía global.</w:t>
      </w:r>
    </w:p>
    <w:p w14:paraId="4514C017" w14:textId="77777777" w:rsidR="00FD13D4" w:rsidRPr="00B722CD" w:rsidRDefault="004E3577">
      <w:pPr>
        <w:spacing w:after="190" w:line="300" w:lineRule="auto"/>
        <w:jc w:val="both"/>
      </w:pPr>
      <w:proofErr w:type="spellStart"/>
      <w:r w:rsidRPr="00B722CD">
        <w:t>Mazzucato</w:t>
      </w:r>
      <w:proofErr w:type="spellEnd"/>
      <w:r w:rsidRPr="00B722CD">
        <w:t>, M. (2021). Misión economía. Una guía para cambiar el capitalismo.</w:t>
      </w:r>
    </w:p>
    <w:sectPr w:rsidR="00FD13D4" w:rsidRPr="00B722C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11DFE"/>
    <w:multiLevelType w:val="hybridMultilevel"/>
    <w:tmpl w:val="92FE9B58"/>
    <w:lvl w:ilvl="0" w:tplc="17660A18">
      <w:start w:val="1"/>
      <w:numFmt w:val="bullet"/>
      <w:lvlText w:val="●"/>
      <w:lvlJc w:val="left"/>
      <w:pPr>
        <w:ind w:left="720" w:hanging="360"/>
      </w:pPr>
    </w:lvl>
    <w:lvl w:ilvl="1" w:tplc="7CE4CD82">
      <w:start w:val="1"/>
      <w:numFmt w:val="bullet"/>
      <w:lvlText w:val="○"/>
      <w:lvlJc w:val="left"/>
      <w:pPr>
        <w:ind w:left="1440" w:hanging="360"/>
      </w:pPr>
    </w:lvl>
    <w:lvl w:ilvl="2" w:tplc="9F80A22E">
      <w:start w:val="1"/>
      <w:numFmt w:val="bullet"/>
      <w:lvlText w:val="■"/>
      <w:lvlJc w:val="left"/>
      <w:pPr>
        <w:ind w:left="2160" w:hanging="360"/>
      </w:pPr>
    </w:lvl>
    <w:lvl w:ilvl="3" w:tplc="38240E8C">
      <w:start w:val="1"/>
      <w:numFmt w:val="bullet"/>
      <w:lvlText w:val="●"/>
      <w:lvlJc w:val="left"/>
      <w:pPr>
        <w:ind w:left="2880" w:hanging="360"/>
      </w:pPr>
    </w:lvl>
    <w:lvl w:ilvl="4" w:tplc="767C0998">
      <w:start w:val="1"/>
      <w:numFmt w:val="bullet"/>
      <w:lvlText w:val="○"/>
      <w:lvlJc w:val="left"/>
      <w:pPr>
        <w:ind w:left="3600" w:hanging="360"/>
      </w:pPr>
    </w:lvl>
    <w:lvl w:ilvl="5" w:tplc="52B8B5FA">
      <w:start w:val="1"/>
      <w:numFmt w:val="bullet"/>
      <w:lvlText w:val="■"/>
      <w:lvlJc w:val="left"/>
      <w:pPr>
        <w:ind w:left="4320" w:hanging="360"/>
      </w:pPr>
    </w:lvl>
    <w:lvl w:ilvl="6" w:tplc="F124A884">
      <w:start w:val="1"/>
      <w:numFmt w:val="bullet"/>
      <w:lvlText w:val="●"/>
      <w:lvlJc w:val="left"/>
      <w:pPr>
        <w:ind w:left="5040" w:hanging="360"/>
      </w:pPr>
    </w:lvl>
    <w:lvl w:ilvl="7" w:tplc="721AEF9E">
      <w:start w:val="1"/>
      <w:numFmt w:val="bullet"/>
      <w:lvlText w:val="●"/>
      <w:lvlJc w:val="left"/>
      <w:pPr>
        <w:ind w:left="5760" w:hanging="360"/>
      </w:pPr>
    </w:lvl>
    <w:lvl w:ilvl="8" w:tplc="39CC9F68">
      <w:start w:val="1"/>
      <w:numFmt w:val="bullet"/>
      <w:lvlText w:val="●"/>
      <w:lvlJc w:val="left"/>
      <w:pPr>
        <w:ind w:left="6480" w:hanging="360"/>
      </w:pPr>
    </w:lvl>
  </w:abstractNum>
  <w:num w:numId="1" w16cid:durableId="10454439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3D4"/>
    <w:rsid w:val="004E3577"/>
    <w:rsid w:val="00A260E3"/>
    <w:rsid w:val="00B722CD"/>
    <w:rsid w:val="00FD13D4"/>
    <w:rsid w:val="00FF18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BAC8"/>
  <w15:docId w15:val="{622ACF13-0584-4110-AADD-D1406BF7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b/>
      <w:bCs/>
      <w:color w:val="1F3A5F"/>
      <w:sz w:val="26"/>
      <w:szCs w:val="26"/>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4451</Words>
  <Characters>25861</Characters>
  <Application>Microsoft Office Word</Application>
  <DocSecurity>0</DocSecurity>
  <Lines>550</Lines>
  <Paragraphs>466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mario krieger</cp:lastModifiedBy>
  <cp:revision>2</cp:revision>
  <dcterms:created xsi:type="dcterms:W3CDTF">2026-08-09T19:53:00Z</dcterms:created>
  <dcterms:modified xsi:type="dcterms:W3CDTF">2026-08-09T19:53:00Z</dcterms:modified>
</cp:coreProperties>
</file>